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3017" w14:textId="321DC8D1" w:rsidR="00B96E84" w:rsidRPr="00051ABE" w:rsidRDefault="00B96E84" w:rsidP="00954E1F">
      <w:pPr>
        <w:pStyle w:val="Nivel01"/>
        <w:numPr>
          <w:ilvl w:val="0"/>
          <w:numId w:val="0"/>
        </w:numPr>
        <w:spacing w:before="120" w:line="240" w:lineRule="auto"/>
        <w:jc w:val="center"/>
        <w:outlineLvl w:val="9"/>
        <w:rPr>
          <w:rFonts w:ascii="Times New Roman" w:hAnsi="Times New Roman" w:cs="Times New Roman"/>
          <w:sz w:val="24"/>
          <w:szCs w:val="24"/>
        </w:rPr>
      </w:pPr>
      <w:bookmarkStart w:id="0" w:name="_Hlk82471863"/>
      <w:bookmarkStart w:id="1" w:name="_Hlk82473550"/>
      <w:r w:rsidRPr="00051ABE">
        <w:rPr>
          <w:rFonts w:ascii="Times New Roman" w:hAnsi="Times New Roman" w:cs="Times New Roman"/>
          <w:sz w:val="24"/>
          <w:szCs w:val="24"/>
        </w:rPr>
        <w:t>TERMO DE REFERÊNCIA</w:t>
      </w:r>
    </w:p>
    <w:p w14:paraId="16349CCB" w14:textId="77777777" w:rsidR="00B96E84" w:rsidRPr="00051ABE" w:rsidRDefault="00B96E84" w:rsidP="00954E1F">
      <w:pPr>
        <w:spacing w:before="120" w:after="120"/>
        <w:rPr>
          <w:rFonts w:ascii="Times New Roman" w:hAnsi="Times New Roman" w:cs="Times New Roman"/>
        </w:rPr>
      </w:pPr>
    </w:p>
    <w:p w14:paraId="043A357C" w14:textId="2787A2D8" w:rsidR="00573B28" w:rsidRPr="00051ABE" w:rsidRDefault="009D53B4" w:rsidP="00954E1F">
      <w:pPr>
        <w:pStyle w:val="Nivel01"/>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OBJETO</w:t>
      </w:r>
    </w:p>
    <w:p w14:paraId="482278D0" w14:textId="77777777" w:rsidR="00573B28" w:rsidRPr="00051ABE" w:rsidRDefault="00573B28" w:rsidP="00954E1F">
      <w:pPr>
        <w:pStyle w:val="Nivel2"/>
        <w:spacing w:line="240" w:lineRule="auto"/>
        <w:rPr>
          <w:rFonts w:ascii="Times New Roman" w:hAnsi="Times New Roman" w:cs="Times New Roman"/>
          <w:b/>
          <w:bCs/>
          <w:sz w:val="24"/>
          <w:szCs w:val="24"/>
        </w:rPr>
      </w:pPr>
      <w:r w:rsidRPr="00051ABE">
        <w:rPr>
          <w:rFonts w:ascii="Times New Roman" w:hAnsi="Times New Roman" w:cs="Times New Roman"/>
          <w:sz w:val="24"/>
          <w:szCs w:val="24"/>
        </w:rPr>
        <w:t xml:space="preserve">Contratação de serviços </w:t>
      </w:r>
      <w:r w:rsidRPr="00051ABE">
        <w:rPr>
          <w:rFonts w:ascii="Times New Roman" w:hAnsi="Times New Roman" w:cs="Times New Roman"/>
          <w:color w:val="FF0000"/>
          <w:sz w:val="24"/>
          <w:szCs w:val="24"/>
        </w:rPr>
        <w:t>...........................................................</w:t>
      </w:r>
      <w:r w:rsidRPr="00051ABE">
        <w:rPr>
          <w:rFonts w:ascii="Times New Roman" w:hAnsi="Times New Roman" w:cs="Times New Roman"/>
          <w:b/>
          <w:bCs/>
          <w:sz w:val="24"/>
          <w:szCs w:val="24"/>
        </w:rPr>
        <w:t>,</w:t>
      </w:r>
      <w:r w:rsidRPr="00051ABE">
        <w:rPr>
          <w:rFonts w:ascii="Times New Roman" w:hAnsi="Times New Roman" w:cs="Times New Roman"/>
          <w:sz w:val="24"/>
          <w:szCs w:val="24"/>
        </w:rPr>
        <w:t xml:space="preserve"> nos termos da tabela abaixo, conforme condições e exigências estabelecidas neste instrumento.</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91"/>
        <w:gridCol w:w="2203"/>
        <w:gridCol w:w="1393"/>
        <w:gridCol w:w="1857"/>
        <w:gridCol w:w="1443"/>
        <w:gridCol w:w="1341"/>
      </w:tblGrid>
      <w:tr w:rsidR="003352D3" w:rsidRPr="00051ABE" w14:paraId="12D91C24" w14:textId="77777777" w:rsidTr="003352D3">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1A830" w14:textId="77777777" w:rsidR="003352D3" w:rsidRPr="00051ABE" w:rsidRDefault="003352D3" w:rsidP="00954E1F">
            <w:pPr>
              <w:widowControl w:val="0"/>
              <w:suppressAutoHyphens/>
              <w:spacing w:before="120" w:after="120"/>
              <w:jc w:val="both"/>
              <w:rPr>
                <w:rFonts w:ascii="Times New Roman" w:hAnsi="Times New Roman" w:cs="Times New Roman"/>
                <w:b/>
                <w:bCs/>
                <w:color w:val="000000"/>
              </w:rPr>
            </w:pPr>
            <w:commentRangeStart w:id="2"/>
            <w:r w:rsidRPr="00051ABE">
              <w:rPr>
                <w:rFonts w:ascii="Times New Roman" w:hAnsi="Times New Roman" w:cs="Times New Roman"/>
                <w:b/>
                <w:bCs/>
                <w:color w:val="000000" w:themeColor="text1"/>
              </w:rPr>
              <w:t>ITEM</w:t>
            </w:r>
          </w:p>
          <w:p w14:paraId="221E3778" w14:textId="77777777" w:rsidR="003352D3" w:rsidRPr="00051ABE" w:rsidRDefault="003352D3" w:rsidP="00954E1F">
            <w:pPr>
              <w:widowControl w:val="0"/>
              <w:suppressAutoHyphens/>
              <w:spacing w:before="120" w:after="120"/>
              <w:ind w:firstLine="709"/>
              <w:jc w:val="both"/>
              <w:rPr>
                <w:rFonts w:ascii="Times New Roman" w:hAnsi="Times New Roman" w:cs="Times New Roman"/>
                <w:b/>
                <w:bCs/>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2BE26" w14:textId="77777777" w:rsidR="003352D3" w:rsidRPr="00051ABE" w:rsidRDefault="003352D3" w:rsidP="00954E1F">
            <w:pPr>
              <w:widowControl w:val="0"/>
              <w:suppressAutoHyphens/>
              <w:spacing w:before="120" w:after="120"/>
              <w:jc w:val="both"/>
              <w:rPr>
                <w:rFonts w:ascii="Times New Roman" w:hAnsi="Times New Roman" w:cs="Times New Roman"/>
                <w:color w:val="000000"/>
              </w:rPr>
            </w:pPr>
            <w:r w:rsidRPr="00051ABE">
              <w:rPr>
                <w:rFonts w:ascii="Times New Roman" w:hAnsi="Times New Roman" w:cs="Times New Roman"/>
                <w:b/>
                <w:bCs/>
                <w:color w:val="000000" w:themeColor="text1"/>
              </w:rPr>
              <w:t>ESPECIFICAÇÃO</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039DB" w14:textId="77777777" w:rsidR="003352D3" w:rsidRPr="00051ABE" w:rsidRDefault="003352D3" w:rsidP="00954E1F">
            <w:pPr>
              <w:widowControl w:val="0"/>
              <w:suppressAutoHyphens/>
              <w:spacing w:before="120" w:after="120"/>
              <w:jc w:val="both"/>
              <w:rPr>
                <w:rFonts w:ascii="Times New Roman" w:hAnsi="Times New Roman" w:cs="Times New Roman"/>
                <w:color w:val="000000"/>
              </w:rPr>
            </w:pPr>
            <w:r w:rsidRPr="00051ABE">
              <w:rPr>
                <w:rFonts w:ascii="Times New Roman" w:hAnsi="Times New Roman" w:cs="Times New Roman"/>
                <w:b/>
                <w:bCs/>
                <w:color w:val="000000" w:themeColor="text1"/>
              </w:rPr>
              <w:t>UNIDADE DE MEDIDA</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85409" w14:textId="77777777" w:rsidR="003352D3" w:rsidRPr="00051ABE" w:rsidRDefault="003352D3" w:rsidP="00954E1F">
            <w:pPr>
              <w:widowControl w:val="0"/>
              <w:suppressAutoHyphens/>
              <w:spacing w:before="120" w:after="120"/>
              <w:jc w:val="both"/>
              <w:rPr>
                <w:rFonts w:ascii="Times New Roman" w:hAnsi="Times New Roman" w:cs="Times New Roman"/>
                <w:b/>
                <w:bCs/>
              </w:rPr>
            </w:pPr>
            <w:r w:rsidRPr="00051ABE">
              <w:rPr>
                <w:rFonts w:ascii="Times New Roman" w:hAnsi="Times New Roman" w:cs="Times New Roman"/>
                <w:b/>
                <w:bCs/>
              </w:rPr>
              <w:t>QUANTIDADE</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CB011" w14:textId="77777777" w:rsidR="003352D3" w:rsidRPr="00051ABE" w:rsidRDefault="003352D3" w:rsidP="00954E1F">
            <w:pPr>
              <w:widowControl w:val="0"/>
              <w:suppressAutoHyphens/>
              <w:spacing w:before="120" w:after="120"/>
              <w:jc w:val="both"/>
              <w:rPr>
                <w:rFonts w:ascii="Times New Roman" w:hAnsi="Times New Roman" w:cs="Times New Roman"/>
                <w:b/>
                <w:bCs/>
              </w:rPr>
            </w:pPr>
            <w:r w:rsidRPr="00051ABE">
              <w:rPr>
                <w:rFonts w:ascii="Times New Roman" w:hAnsi="Times New Roman" w:cs="Times New Roman"/>
                <w:b/>
                <w:bCs/>
              </w:rPr>
              <w:t>VALOR UNITÁRIO</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B4B00" w14:textId="77777777" w:rsidR="003352D3" w:rsidRPr="00051ABE" w:rsidRDefault="003352D3" w:rsidP="00954E1F">
            <w:pPr>
              <w:widowControl w:val="0"/>
              <w:suppressAutoHyphens/>
              <w:spacing w:before="120" w:after="120"/>
              <w:jc w:val="both"/>
              <w:rPr>
                <w:rFonts w:ascii="Times New Roman" w:hAnsi="Times New Roman" w:cs="Times New Roman"/>
                <w:b/>
                <w:bCs/>
              </w:rPr>
            </w:pPr>
            <w:r w:rsidRPr="00051ABE">
              <w:rPr>
                <w:rFonts w:ascii="Times New Roman" w:hAnsi="Times New Roman" w:cs="Times New Roman"/>
                <w:b/>
                <w:bCs/>
              </w:rPr>
              <w:t>VALOR TOTAL</w:t>
            </w:r>
            <w:commentRangeEnd w:id="2"/>
            <w:r w:rsidRPr="00051ABE">
              <w:rPr>
                <w:rFonts w:ascii="Times New Roman" w:hAnsi="Times New Roman" w:cs="Times New Roman"/>
              </w:rPr>
              <w:commentReference w:id="2"/>
            </w:r>
          </w:p>
        </w:tc>
      </w:tr>
      <w:tr w:rsidR="003352D3" w:rsidRPr="00051ABE" w14:paraId="548B9AF2" w14:textId="77777777" w:rsidTr="003352D3">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93C17" w14:textId="77777777" w:rsidR="003352D3" w:rsidRPr="00051ABE" w:rsidRDefault="003352D3" w:rsidP="00954E1F">
            <w:pPr>
              <w:widowControl w:val="0"/>
              <w:suppressAutoHyphens/>
              <w:spacing w:before="120" w:after="120"/>
              <w:ind w:firstLine="709"/>
              <w:jc w:val="both"/>
              <w:rPr>
                <w:rFonts w:ascii="Times New Roman" w:hAnsi="Times New Roman" w:cs="Times New Roman"/>
                <w:b/>
                <w:bCs/>
                <w:color w:val="000000"/>
              </w:rPr>
            </w:pPr>
            <w:r w:rsidRPr="00051ABE">
              <w:rPr>
                <w:rFonts w:ascii="Times New Roman" w:hAnsi="Times New Roman" w:cs="Times New Roman"/>
                <w:b/>
                <w:bCs/>
                <w:color w:val="000000" w:themeColor="text1"/>
              </w:rPr>
              <w:t>1</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2FBE0"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51B76"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B5802"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C0BE8"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1B28E"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r>
      <w:tr w:rsidR="003352D3" w:rsidRPr="00051ABE" w14:paraId="686DB124" w14:textId="77777777" w:rsidTr="003352D3">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419F2" w14:textId="77777777" w:rsidR="003352D3" w:rsidRPr="00051ABE" w:rsidRDefault="003352D3" w:rsidP="00954E1F">
            <w:pPr>
              <w:widowControl w:val="0"/>
              <w:suppressAutoHyphens/>
              <w:spacing w:before="120" w:after="120"/>
              <w:ind w:firstLine="709"/>
              <w:jc w:val="both"/>
              <w:rPr>
                <w:rFonts w:ascii="Times New Roman" w:hAnsi="Times New Roman" w:cs="Times New Roman"/>
                <w:b/>
                <w:bCs/>
                <w:color w:val="000000"/>
              </w:rPr>
            </w:pPr>
            <w:r w:rsidRPr="00051ABE">
              <w:rPr>
                <w:rFonts w:ascii="Times New Roman" w:hAnsi="Times New Roman" w:cs="Times New Roman"/>
                <w:b/>
                <w:bCs/>
                <w:color w:val="000000" w:themeColor="text1"/>
              </w:rPr>
              <w:t>2</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41F33"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DEDF3"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E3C73"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1D1F4"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08290"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r>
      <w:tr w:rsidR="003352D3" w:rsidRPr="00051ABE" w14:paraId="3AFD24B1" w14:textId="77777777" w:rsidTr="003352D3">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1A252" w14:textId="77777777" w:rsidR="003352D3" w:rsidRPr="00051ABE" w:rsidRDefault="003352D3" w:rsidP="00954E1F">
            <w:pPr>
              <w:widowControl w:val="0"/>
              <w:suppressAutoHyphens/>
              <w:spacing w:before="120" w:after="120"/>
              <w:ind w:firstLine="709"/>
              <w:jc w:val="both"/>
              <w:rPr>
                <w:rFonts w:ascii="Times New Roman" w:hAnsi="Times New Roman" w:cs="Times New Roman"/>
                <w:b/>
                <w:bCs/>
                <w:color w:val="000000"/>
              </w:rPr>
            </w:pPr>
            <w:r w:rsidRPr="00051ABE">
              <w:rPr>
                <w:rFonts w:ascii="Times New Roman" w:hAnsi="Times New Roman" w:cs="Times New Roman"/>
                <w:b/>
                <w:bCs/>
                <w:color w:val="000000" w:themeColor="text1"/>
              </w:rPr>
              <w:t>3</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D0160"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73BD1"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EA1E2"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53697"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C1061"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r>
      <w:tr w:rsidR="003352D3" w:rsidRPr="00051ABE" w14:paraId="68AF6A91" w14:textId="77777777" w:rsidTr="003352D3">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570C5" w14:textId="77777777" w:rsidR="003352D3" w:rsidRPr="00051ABE" w:rsidRDefault="003352D3" w:rsidP="00954E1F">
            <w:pPr>
              <w:widowControl w:val="0"/>
              <w:suppressAutoHyphens/>
              <w:spacing w:before="120" w:after="120"/>
              <w:ind w:firstLine="709"/>
              <w:jc w:val="both"/>
              <w:rPr>
                <w:rFonts w:ascii="Times New Roman" w:hAnsi="Times New Roman" w:cs="Times New Roman"/>
                <w:b/>
                <w:bCs/>
                <w:color w:val="000000"/>
              </w:rPr>
            </w:pPr>
            <w:r w:rsidRPr="00051ABE">
              <w:rPr>
                <w:rFonts w:ascii="Times New Roman" w:hAnsi="Times New Roman" w:cs="Times New Roman"/>
                <w:b/>
                <w:bCs/>
                <w:color w:val="000000" w:themeColor="text1"/>
              </w:rPr>
              <w:t>...</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6B40F" w14:textId="77777777" w:rsidR="003352D3" w:rsidRPr="00051ABE" w:rsidRDefault="003352D3" w:rsidP="00954E1F">
            <w:pPr>
              <w:spacing w:before="120" w:after="120"/>
              <w:ind w:firstLine="709"/>
              <w:jc w:val="both"/>
              <w:rPr>
                <w:rFonts w:ascii="Times New Roman" w:hAnsi="Times New Roman" w:cs="Times New Roman"/>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CC07B"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127B1"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C988D"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53E99" w14:textId="77777777" w:rsidR="003352D3" w:rsidRPr="00051ABE" w:rsidRDefault="003352D3" w:rsidP="00954E1F">
            <w:pPr>
              <w:widowControl w:val="0"/>
              <w:suppressAutoHyphens/>
              <w:spacing w:before="120" w:after="120"/>
              <w:ind w:firstLine="709"/>
              <w:jc w:val="both"/>
              <w:rPr>
                <w:rFonts w:ascii="Times New Roman" w:hAnsi="Times New Roman" w:cs="Times New Roman"/>
                <w:color w:val="000000"/>
              </w:rPr>
            </w:pPr>
          </w:p>
        </w:tc>
      </w:tr>
    </w:tbl>
    <w:p w14:paraId="35803A69" w14:textId="77777777" w:rsidR="00573B28" w:rsidRPr="00051ABE" w:rsidRDefault="00573B28" w:rsidP="00954E1F">
      <w:pPr>
        <w:pStyle w:val="Nivel2"/>
        <w:spacing w:line="240" w:lineRule="auto"/>
        <w:rPr>
          <w:rFonts w:ascii="Times New Roman" w:hAnsi="Times New Roman" w:cs="Times New Roman"/>
          <w:sz w:val="24"/>
          <w:szCs w:val="24"/>
        </w:rPr>
      </w:pPr>
      <w:commentRangeStart w:id="3"/>
      <w:r w:rsidRPr="00051ABE">
        <w:rPr>
          <w:rFonts w:ascii="Times New Roman" w:hAnsi="Times New Roman" w:cs="Times New Roman"/>
          <w:sz w:val="24"/>
          <w:szCs w:val="24"/>
        </w:rPr>
        <w:t>O(s) serviço(s) objeto desta contratação são caracterizados como comum(</w:t>
      </w:r>
      <w:proofErr w:type="spellStart"/>
      <w:r w:rsidRPr="00051ABE">
        <w:rPr>
          <w:rFonts w:ascii="Times New Roman" w:hAnsi="Times New Roman" w:cs="Times New Roman"/>
          <w:sz w:val="24"/>
          <w:szCs w:val="24"/>
        </w:rPr>
        <w:t>ns</w:t>
      </w:r>
      <w:proofErr w:type="spellEnd"/>
      <w:r w:rsidRPr="00051ABE">
        <w:rPr>
          <w:rFonts w:ascii="Times New Roman" w:hAnsi="Times New Roman" w:cs="Times New Roman"/>
          <w:sz w:val="24"/>
          <w:szCs w:val="24"/>
        </w:rPr>
        <w:t>), conforme justificativa constante do Estudo Técnico Preliminar.</w:t>
      </w:r>
      <w:commentRangeEnd w:id="3"/>
      <w:r w:rsidRPr="00051ABE">
        <w:rPr>
          <w:rFonts w:ascii="Times New Roman" w:hAnsi="Times New Roman" w:cs="Times New Roman"/>
          <w:sz w:val="24"/>
          <w:szCs w:val="24"/>
        </w:rPr>
        <w:commentReference w:id="3"/>
      </w:r>
    </w:p>
    <w:p w14:paraId="237D53E1"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 prazo de vigência da contratação é de .............................. contados do(a) ............................., na forma do artigo 105 da Lei n° 14.133, de 2021.</w:t>
      </w:r>
    </w:p>
    <w:p w14:paraId="1A079E5B" w14:textId="77777777" w:rsidR="00573B28" w:rsidRPr="00051ABE" w:rsidRDefault="3E4F9A9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3152C4B4"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 prazo de vigência da contratação é de .............................. (máximo de 5 anos) contados do(a) ............................., prorrogável por até 10 anos, na forma dos artigos 106 e 107 da Lei n° 14.133, de 2021.</w:t>
      </w:r>
    </w:p>
    <w:p w14:paraId="4F50F758" w14:textId="066F8809" w:rsidR="00573B28" w:rsidRPr="00051ABE" w:rsidRDefault="00573B28" w:rsidP="0020334C">
      <w:pPr>
        <w:pStyle w:val="Nvel3-R"/>
      </w:pPr>
      <w:r w:rsidRPr="00051ABE">
        <w:t>O serviço é enquadrado como continuado tendo em vista que [...], sendo a vigência plurianual mais vantajosa considerando [...]</w:t>
      </w:r>
      <w:r w:rsidR="00247A28" w:rsidRPr="00051ABE">
        <w:t xml:space="preserve"> </w:t>
      </w:r>
      <w:r w:rsidRPr="00051ABE">
        <w:rPr>
          <w:b/>
          <w:bCs/>
        </w:rPr>
        <w:t>OU</w:t>
      </w:r>
      <w:r w:rsidRPr="00051ABE">
        <w:t xml:space="preserve"> o Estudo Técnico </w:t>
      </w:r>
      <w:r w:rsidR="00247A28" w:rsidRPr="00051ABE">
        <w:t xml:space="preserve">Preliminar </w:t>
      </w:r>
      <w:r w:rsidR="00247A28" w:rsidRPr="00051ABE">
        <w:rPr>
          <w:b/>
          <w:bCs/>
        </w:rPr>
        <w:t>OU</w:t>
      </w:r>
      <w:r w:rsidRPr="00051ABE">
        <w:t xml:space="preserve"> os termos da Nota Técnica .../...;</w:t>
      </w:r>
    </w:p>
    <w:p w14:paraId="2ED70CD8" w14:textId="77777777" w:rsidR="00573B28" w:rsidRDefault="00573B28" w:rsidP="00954E1F">
      <w:pPr>
        <w:pStyle w:val="Nivel2"/>
        <w:spacing w:line="240" w:lineRule="auto"/>
        <w:rPr>
          <w:rFonts w:ascii="Times New Roman" w:hAnsi="Times New Roman" w:cs="Times New Roman"/>
          <w:sz w:val="24"/>
          <w:szCs w:val="24"/>
        </w:rPr>
      </w:pPr>
      <w:commentRangeStart w:id="4"/>
      <w:r w:rsidRPr="00051ABE">
        <w:rPr>
          <w:rFonts w:ascii="Times New Roman" w:hAnsi="Times New Roman" w:cs="Times New Roman"/>
          <w:sz w:val="24"/>
          <w:szCs w:val="24"/>
        </w:rPr>
        <w:t>O contrato oferece maior detalhamento das regras que serão aplicadas em relação à vigência da contratação.</w:t>
      </w:r>
      <w:commentRangeEnd w:id="4"/>
      <w:r w:rsidRPr="00051ABE">
        <w:rPr>
          <w:rFonts w:ascii="Times New Roman" w:hAnsi="Times New Roman" w:cs="Times New Roman"/>
          <w:sz w:val="24"/>
          <w:szCs w:val="24"/>
        </w:rPr>
        <w:commentReference w:id="4"/>
      </w:r>
    </w:p>
    <w:p w14:paraId="78E4B3C1" w14:textId="77777777" w:rsidR="00051ABE" w:rsidRPr="00051ABE" w:rsidRDefault="00051ABE" w:rsidP="00954E1F">
      <w:pPr>
        <w:pStyle w:val="Nivel2"/>
        <w:numPr>
          <w:ilvl w:val="0"/>
          <w:numId w:val="0"/>
        </w:numPr>
        <w:spacing w:line="240" w:lineRule="auto"/>
        <w:rPr>
          <w:rFonts w:ascii="Times New Roman" w:hAnsi="Times New Roman" w:cs="Times New Roman"/>
          <w:sz w:val="24"/>
          <w:szCs w:val="24"/>
        </w:rPr>
      </w:pPr>
    </w:p>
    <w:p w14:paraId="2FF9F655" w14:textId="77777777" w:rsidR="00573B28" w:rsidRPr="00051ABE" w:rsidRDefault="00573B28" w:rsidP="00954E1F">
      <w:pPr>
        <w:pStyle w:val="Nivel01"/>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FUNDAMENTAÇÃO E DESCRIÇÃO DA NECESSIDADE DA CONTRATAÇÃO</w:t>
      </w:r>
    </w:p>
    <w:p w14:paraId="236BF0F7" w14:textId="77777777" w:rsidR="00573B28" w:rsidRPr="00051ABE" w:rsidRDefault="00573B28" w:rsidP="00954E1F">
      <w:pPr>
        <w:pStyle w:val="Nivel2"/>
        <w:spacing w:line="240" w:lineRule="auto"/>
        <w:rPr>
          <w:rFonts w:ascii="Times New Roman" w:hAnsi="Times New Roman" w:cs="Times New Roman"/>
          <w:sz w:val="24"/>
          <w:szCs w:val="24"/>
        </w:rPr>
      </w:pPr>
      <w:commentRangeStart w:id="5"/>
      <w:r w:rsidRPr="00051ABE">
        <w:rPr>
          <w:rFonts w:ascii="Times New Roman" w:hAnsi="Times New Roman" w:cs="Times New Roman"/>
          <w:sz w:val="24"/>
          <w:szCs w:val="24"/>
        </w:rPr>
        <w:t>A Fundamentação da Contratação e de seus quantitativos encontra-se pormenorizada em tópico específico dos Estudos Técnicos Preliminares, apêndice deste Termo de Referência.</w:t>
      </w:r>
      <w:commentRangeEnd w:id="5"/>
      <w:r w:rsidRPr="00051ABE">
        <w:rPr>
          <w:rFonts w:ascii="Times New Roman" w:hAnsi="Times New Roman" w:cs="Times New Roman"/>
          <w:sz w:val="24"/>
          <w:szCs w:val="24"/>
        </w:rPr>
        <w:commentReference w:id="5"/>
      </w:r>
    </w:p>
    <w:p w14:paraId="0826646C" w14:textId="77777777" w:rsidR="00051ABE" w:rsidRPr="00051ABE" w:rsidRDefault="00051ABE" w:rsidP="00954E1F">
      <w:pPr>
        <w:pStyle w:val="Nvel2-Red"/>
        <w:spacing w:line="240" w:lineRule="auto"/>
        <w:rPr>
          <w:rFonts w:ascii="Times New Roman" w:hAnsi="Times New Roman" w:cs="Times New Roman"/>
          <w:i w:val="0"/>
          <w:iCs w:val="0"/>
          <w:color w:val="auto"/>
          <w:sz w:val="24"/>
          <w:szCs w:val="24"/>
        </w:rPr>
      </w:pPr>
      <w:r w:rsidRPr="00051ABE">
        <w:rPr>
          <w:rFonts w:ascii="Times New Roman" w:hAnsi="Times New Roman" w:cs="Times New Roman"/>
          <w:i w:val="0"/>
          <w:iCs w:val="0"/>
          <w:color w:val="auto"/>
          <w:sz w:val="24"/>
          <w:szCs w:val="24"/>
        </w:rPr>
        <w:t xml:space="preserve">O objeto da contratação está previsto no Plano de Contratações Anual </w:t>
      </w:r>
      <w:r w:rsidRPr="00051ABE">
        <w:rPr>
          <w:rFonts w:ascii="Times New Roman" w:hAnsi="Times New Roman" w:cs="Times New Roman"/>
          <w:i w:val="0"/>
          <w:iCs w:val="0"/>
          <w:sz w:val="24"/>
          <w:szCs w:val="24"/>
        </w:rPr>
        <w:t>[ANO]</w:t>
      </w:r>
      <w:r w:rsidRPr="00051ABE">
        <w:rPr>
          <w:rFonts w:ascii="Times New Roman" w:hAnsi="Times New Roman" w:cs="Times New Roman"/>
          <w:i w:val="0"/>
          <w:iCs w:val="0"/>
          <w:color w:val="auto"/>
          <w:sz w:val="24"/>
          <w:szCs w:val="24"/>
        </w:rPr>
        <w:t>, conforme consta das informações básicas desse termo de referência.</w:t>
      </w:r>
    </w:p>
    <w:p w14:paraId="63BFC3A5" w14:textId="77777777" w:rsidR="00051ABE" w:rsidRPr="00051ABE" w:rsidRDefault="00051ABE" w:rsidP="00954E1F">
      <w:pPr>
        <w:pStyle w:val="Nivel01"/>
        <w:numPr>
          <w:ilvl w:val="0"/>
          <w:numId w:val="0"/>
        </w:numPr>
        <w:spacing w:before="120" w:line="240" w:lineRule="auto"/>
        <w:rPr>
          <w:rFonts w:ascii="Times New Roman" w:hAnsi="Times New Roman" w:cs="Times New Roman"/>
          <w:sz w:val="24"/>
          <w:szCs w:val="24"/>
        </w:rPr>
      </w:pPr>
    </w:p>
    <w:p w14:paraId="66685BF6" w14:textId="2EAAA66F" w:rsidR="00573B28" w:rsidRPr="00051ABE" w:rsidRDefault="00573B28" w:rsidP="00954E1F">
      <w:pPr>
        <w:pStyle w:val="Nivel01"/>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DESCRIÇÃO DA SOLUÇÃO COMO UM TODO CONSIDERADO O CICLO DE VIDA DO OBJETO</w:t>
      </w:r>
    </w:p>
    <w:p w14:paraId="4C9CE8E6" w14:textId="77777777" w:rsidR="00573B28" w:rsidRPr="00051ABE" w:rsidRDefault="00573B28" w:rsidP="00954E1F">
      <w:pPr>
        <w:pStyle w:val="Nvel2-Red"/>
        <w:spacing w:line="240" w:lineRule="auto"/>
        <w:rPr>
          <w:rFonts w:ascii="Times New Roman" w:hAnsi="Times New Roman" w:cs="Times New Roman"/>
          <w:sz w:val="24"/>
          <w:szCs w:val="24"/>
        </w:rPr>
      </w:pPr>
      <w:bookmarkStart w:id="6" w:name="_Ref121236534"/>
      <w:commentRangeStart w:id="7"/>
      <w:r w:rsidRPr="00051ABE">
        <w:rPr>
          <w:rFonts w:ascii="Times New Roman" w:hAnsi="Times New Roman" w:cs="Times New Roman"/>
          <w:sz w:val="24"/>
          <w:szCs w:val="24"/>
        </w:rPr>
        <w:t>A descrição da solução como um todo encontra-se pormenorizada em tópico específico dos Estudos Técnicos Preliminares, apêndice deste Termo de Referência.</w:t>
      </w:r>
      <w:bookmarkEnd w:id="6"/>
      <w:commentRangeEnd w:id="7"/>
      <w:r w:rsidRPr="00051ABE">
        <w:rPr>
          <w:rFonts w:ascii="Times New Roman" w:hAnsi="Times New Roman" w:cs="Times New Roman"/>
          <w:sz w:val="24"/>
          <w:szCs w:val="24"/>
        </w:rPr>
        <w:commentReference w:id="7"/>
      </w:r>
    </w:p>
    <w:p w14:paraId="6D134D5C" w14:textId="77777777" w:rsidR="00051ABE" w:rsidRPr="00051ABE" w:rsidRDefault="00051ABE" w:rsidP="00954E1F">
      <w:pPr>
        <w:pStyle w:val="Nvel2-Red"/>
        <w:numPr>
          <w:ilvl w:val="0"/>
          <w:numId w:val="0"/>
        </w:numPr>
        <w:spacing w:line="240" w:lineRule="auto"/>
        <w:rPr>
          <w:rFonts w:ascii="Times New Roman" w:hAnsi="Times New Roman" w:cs="Times New Roman"/>
          <w:sz w:val="24"/>
          <w:szCs w:val="24"/>
        </w:rPr>
      </w:pPr>
    </w:p>
    <w:p w14:paraId="44C42EF3" w14:textId="77777777" w:rsidR="00573B28" w:rsidRPr="00051ABE" w:rsidRDefault="00573B28" w:rsidP="00954E1F">
      <w:pPr>
        <w:pStyle w:val="Nivel01"/>
        <w:spacing w:before="120" w:line="240" w:lineRule="auto"/>
        <w:rPr>
          <w:rFonts w:ascii="Times New Roman" w:hAnsi="Times New Roman" w:cs="Times New Roman"/>
          <w:sz w:val="24"/>
          <w:szCs w:val="24"/>
        </w:rPr>
      </w:pPr>
      <w:commentRangeStart w:id="8"/>
      <w:r w:rsidRPr="00051ABE">
        <w:rPr>
          <w:rFonts w:ascii="Times New Roman" w:hAnsi="Times New Roman" w:cs="Times New Roman"/>
          <w:sz w:val="24"/>
          <w:szCs w:val="24"/>
        </w:rPr>
        <w:t>REQUISITOS DA CONTRATAÇÃO</w:t>
      </w:r>
      <w:commentRangeEnd w:id="8"/>
      <w:r w:rsidRPr="00051ABE">
        <w:rPr>
          <w:rFonts w:ascii="Times New Roman" w:hAnsi="Times New Roman" w:cs="Times New Roman"/>
          <w:sz w:val="24"/>
          <w:szCs w:val="24"/>
        </w:rPr>
        <w:commentReference w:id="8"/>
      </w:r>
    </w:p>
    <w:p w14:paraId="36829140" w14:textId="77777777" w:rsidR="00573B28" w:rsidRPr="00051ABE" w:rsidRDefault="00573B28" w:rsidP="00954E1F">
      <w:pPr>
        <w:pStyle w:val="Nvel01-SemNumerao"/>
        <w:spacing w:before="120" w:line="240" w:lineRule="auto"/>
        <w:rPr>
          <w:rFonts w:ascii="Times New Roman" w:hAnsi="Times New Roman" w:cs="Times New Roman"/>
          <w:sz w:val="24"/>
          <w:szCs w:val="24"/>
        </w:rPr>
      </w:pPr>
      <w:commentRangeStart w:id="9"/>
      <w:r w:rsidRPr="00051ABE">
        <w:rPr>
          <w:rFonts w:ascii="Times New Roman" w:hAnsi="Times New Roman" w:cs="Times New Roman"/>
          <w:sz w:val="24"/>
          <w:szCs w:val="24"/>
        </w:rPr>
        <w:t>Subcontratação</w:t>
      </w:r>
      <w:commentRangeEnd w:id="9"/>
      <w:r w:rsidRPr="00051ABE">
        <w:rPr>
          <w:rFonts w:ascii="Times New Roman" w:hAnsi="Times New Roman" w:cs="Times New Roman"/>
          <w:sz w:val="24"/>
          <w:szCs w:val="24"/>
        </w:rPr>
        <w:commentReference w:id="9"/>
      </w:r>
    </w:p>
    <w:p w14:paraId="4A0B11CD"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Não é admitida a subcontratação do objeto contratual.</w:t>
      </w:r>
    </w:p>
    <w:p w14:paraId="0C038F2A" w14:textId="77777777" w:rsidR="00573B28" w:rsidRPr="00051ABE" w:rsidRDefault="3E4F9A9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7F97F6FA" w14:textId="77777777" w:rsidR="00573B28" w:rsidRPr="00051ABE" w:rsidRDefault="00573B28" w:rsidP="00954E1F">
      <w:pPr>
        <w:pStyle w:val="Nvel2-Red"/>
        <w:spacing w:line="240" w:lineRule="auto"/>
        <w:rPr>
          <w:rFonts w:ascii="Times New Roman" w:hAnsi="Times New Roman" w:cs="Times New Roman"/>
          <w:sz w:val="24"/>
          <w:szCs w:val="24"/>
        </w:rPr>
      </w:pPr>
      <w:commentRangeStart w:id="10"/>
      <w:r w:rsidRPr="00051ABE">
        <w:rPr>
          <w:rFonts w:ascii="Times New Roman" w:hAnsi="Times New Roman" w:cs="Times New Roman"/>
          <w:sz w:val="24"/>
          <w:szCs w:val="24"/>
        </w:rPr>
        <w:t>É admitida a subcontratação parcial do objeto, nas seguintes condições:</w:t>
      </w:r>
    </w:p>
    <w:p w14:paraId="03EAC1EB" w14:textId="77777777" w:rsidR="00573B28" w:rsidRPr="00051ABE" w:rsidRDefault="00573B28" w:rsidP="0020334C">
      <w:pPr>
        <w:pStyle w:val="Nvel3-R"/>
      </w:pPr>
      <w:r w:rsidRPr="00051ABE">
        <w:t>É vedada a subcontratação completa ou da parcela principal do objeto da contratação, a qual consiste em: (...).</w:t>
      </w:r>
    </w:p>
    <w:p w14:paraId="601E19D4" w14:textId="77777777" w:rsidR="00573B28" w:rsidRPr="00051ABE" w:rsidRDefault="00573B28" w:rsidP="0020334C">
      <w:pPr>
        <w:pStyle w:val="Nvel3-R"/>
      </w:pPr>
      <w:r w:rsidRPr="00051ABE">
        <w:t>A subcontratação fica limitada a ........ [parcela permitida/percentual]</w:t>
      </w:r>
    </w:p>
    <w:p w14:paraId="7DD1C276" w14:textId="77777777" w:rsidR="00573B28"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 contrato oferece maior detalhamento das regras que serão aplicadas em relação à subcontratação, caso admitida.</w:t>
      </w:r>
      <w:commentRangeEnd w:id="10"/>
      <w:r w:rsidRPr="00051ABE">
        <w:rPr>
          <w:rFonts w:ascii="Times New Roman" w:hAnsi="Times New Roman" w:cs="Times New Roman"/>
          <w:sz w:val="24"/>
          <w:szCs w:val="24"/>
        </w:rPr>
        <w:commentReference w:id="10"/>
      </w:r>
    </w:p>
    <w:p w14:paraId="63AC0E17" w14:textId="77777777" w:rsidR="00051ABE" w:rsidRPr="00051ABE" w:rsidRDefault="00051ABE" w:rsidP="00954E1F">
      <w:pPr>
        <w:pStyle w:val="Nvel2-Red"/>
        <w:numPr>
          <w:ilvl w:val="0"/>
          <w:numId w:val="0"/>
        </w:numPr>
        <w:spacing w:line="240" w:lineRule="auto"/>
        <w:rPr>
          <w:rFonts w:ascii="Times New Roman" w:hAnsi="Times New Roman" w:cs="Times New Roman"/>
          <w:sz w:val="24"/>
          <w:szCs w:val="24"/>
        </w:rPr>
      </w:pPr>
    </w:p>
    <w:p w14:paraId="0E00B074" w14:textId="5CB1E248"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Garantia da contratação</w:t>
      </w:r>
    </w:p>
    <w:p w14:paraId="251E4614" w14:textId="1F1E388A" w:rsidR="65F8F35A" w:rsidRPr="00051ABE" w:rsidRDefault="65F8F35A" w:rsidP="00954E1F">
      <w:pPr>
        <w:pStyle w:val="Nvel2-Red"/>
        <w:spacing w:line="240" w:lineRule="auto"/>
        <w:rPr>
          <w:rFonts w:ascii="Times New Roman" w:hAnsi="Times New Roman" w:cs="Times New Roman"/>
          <w:sz w:val="24"/>
          <w:szCs w:val="24"/>
        </w:rPr>
      </w:pPr>
      <w:commentRangeStart w:id="11"/>
      <w:r w:rsidRPr="00051ABE">
        <w:rPr>
          <w:rFonts w:ascii="Times New Roman" w:hAnsi="Times New Roman" w:cs="Times New Roman"/>
          <w:sz w:val="24"/>
          <w:szCs w:val="24"/>
        </w:rPr>
        <w:t xml:space="preserve">Não haverá exigência da garantia da contratação dos </w:t>
      </w:r>
      <w:hyperlink r:id="rId14" w:anchor="art96">
        <w:r w:rsidRPr="00051ABE">
          <w:rPr>
            <w:rFonts w:ascii="Times New Roman" w:hAnsi="Times New Roman" w:cs="Times New Roman"/>
            <w:sz w:val="24"/>
            <w:szCs w:val="24"/>
          </w:rPr>
          <w:t>artigos 96 e seguintes da Lei nº 14.133, de 2021</w:t>
        </w:r>
      </w:hyperlink>
      <w:r w:rsidRPr="00051ABE">
        <w:rPr>
          <w:rFonts w:ascii="Times New Roman" w:hAnsi="Times New Roman" w:cs="Times New Roman"/>
          <w:sz w:val="24"/>
          <w:szCs w:val="24"/>
        </w:rPr>
        <w:t>, pelas razões constantes do Estudo Técnico Preliminar.</w:t>
      </w:r>
    </w:p>
    <w:p w14:paraId="47AE3ECD" w14:textId="183E1D1C" w:rsidR="65F8F35A" w:rsidRPr="00051ABE" w:rsidRDefault="2A41F21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2192C280" w14:textId="6EE83AED" w:rsidR="65F8F35A" w:rsidRPr="00051ABE" w:rsidRDefault="65F8F35A"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Será exigida a garantia da contratação de que tratam os </w:t>
      </w:r>
      <w:hyperlink r:id="rId15" w:anchor="art96">
        <w:proofErr w:type="spellStart"/>
        <w:r w:rsidRPr="00051ABE">
          <w:rPr>
            <w:rFonts w:ascii="Times New Roman" w:hAnsi="Times New Roman" w:cs="Times New Roman"/>
            <w:sz w:val="24"/>
            <w:szCs w:val="24"/>
          </w:rPr>
          <w:t>arts</w:t>
        </w:r>
        <w:proofErr w:type="spellEnd"/>
        <w:r w:rsidRPr="00051ABE">
          <w:rPr>
            <w:rFonts w:ascii="Times New Roman" w:hAnsi="Times New Roman" w:cs="Times New Roman"/>
            <w:sz w:val="24"/>
            <w:szCs w:val="24"/>
          </w:rPr>
          <w:t>. 96 e seguintes da Lei nº 14.133, de 2021</w:t>
        </w:r>
      </w:hyperlink>
      <w:r w:rsidRPr="00051ABE">
        <w:rPr>
          <w:rFonts w:ascii="Times New Roman" w:hAnsi="Times New Roman" w:cs="Times New Roman"/>
          <w:sz w:val="24"/>
          <w:szCs w:val="24"/>
        </w:rPr>
        <w:t>, no percentual e condições descritas nas cláusulas do contrato.</w:t>
      </w:r>
    </w:p>
    <w:p w14:paraId="4377D97F" w14:textId="12A1B673" w:rsidR="65F8F35A" w:rsidRPr="00051ABE" w:rsidRDefault="2A41F21A"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Em caso</w:t>
      </w:r>
      <w:r w:rsidR="73701B7E" w:rsidRPr="00051ABE">
        <w:rPr>
          <w:rFonts w:ascii="Times New Roman" w:hAnsi="Times New Roman" w:cs="Times New Roman"/>
          <w:sz w:val="24"/>
          <w:szCs w:val="24"/>
        </w:rPr>
        <w:t xml:space="preserve"> de</w:t>
      </w:r>
      <w:r w:rsidRPr="00051ABE">
        <w:rPr>
          <w:rFonts w:ascii="Times New Roman" w:hAnsi="Times New Roman" w:cs="Times New Roman"/>
          <w:sz w:val="24"/>
          <w:szCs w:val="24"/>
        </w:rPr>
        <w:t xml:space="preserve"> opção pelo seguro-garantia, a parte adjudicatária deverá apresentá-la, no máximo, até a data de assinatura do contrato.  </w:t>
      </w:r>
    </w:p>
    <w:p w14:paraId="3F7239B9" w14:textId="3B76BDAF" w:rsidR="65F8F35A" w:rsidRPr="00051ABE" w:rsidRDefault="65F8F35A"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A garantia, nas modalidades caução e fiança bancária, deverá ser prestada em até 10 dias úteis após a assinatura do contrato.</w:t>
      </w:r>
    </w:p>
    <w:p w14:paraId="45F290CD" w14:textId="4D668317" w:rsidR="00051ABE" w:rsidRDefault="65F8F35A"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 contrato oferece maior detalhamento das regras que serão aplicadas em relação à garantia da contratação.</w:t>
      </w:r>
      <w:commentRangeEnd w:id="11"/>
      <w:r w:rsidRPr="00051ABE">
        <w:rPr>
          <w:rFonts w:ascii="Times New Roman" w:hAnsi="Times New Roman" w:cs="Times New Roman"/>
          <w:sz w:val="24"/>
          <w:szCs w:val="24"/>
        </w:rPr>
        <w:commentReference w:id="11"/>
      </w:r>
    </w:p>
    <w:p w14:paraId="0BF4ACEB" w14:textId="77777777" w:rsidR="00051ABE" w:rsidRPr="00051ABE" w:rsidRDefault="00051ABE" w:rsidP="00954E1F">
      <w:pPr>
        <w:pStyle w:val="Nvel2-Red"/>
        <w:numPr>
          <w:ilvl w:val="0"/>
          <w:numId w:val="0"/>
        </w:numPr>
        <w:spacing w:line="240" w:lineRule="auto"/>
        <w:rPr>
          <w:rFonts w:ascii="Times New Roman" w:hAnsi="Times New Roman" w:cs="Times New Roman"/>
          <w:sz w:val="24"/>
          <w:szCs w:val="24"/>
        </w:rPr>
      </w:pPr>
    </w:p>
    <w:p w14:paraId="13E77EA3" w14:textId="319BED7D" w:rsidR="00573B28" w:rsidRPr="00051ABE" w:rsidRDefault="00573B28" w:rsidP="00954E1F">
      <w:pPr>
        <w:pStyle w:val="Nvel01-SemNumerao"/>
        <w:spacing w:before="120" w:line="240" w:lineRule="auto"/>
        <w:rPr>
          <w:rFonts w:ascii="Times New Roman" w:hAnsi="Times New Roman" w:cs="Times New Roman"/>
          <w:sz w:val="24"/>
          <w:szCs w:val="24"/>
        </w:rPr>
      </w:pPr>
      <w:commentRangeStart w:id="12"/>
      <w:r w:rsidRPr="00051ABE">
        <w:rPr>
          <w:rFonts w:ascii="Times New Roman" w:hAnsi="Times New Roman" w:cs="Times New Roman"/>
          <w:sz w:val="24"/>
          <w:szCs w:val="24"/>
        </w:rPr>
        <w:t>Vistoria</w:t>
      </w:r>
    </w:p>
    <w:p w14:paraId="7C0DABF1" w14:textId="5874A352" w:rsidR="299B7E54" w:rsidRPr="00051ABE" w:rsidRDefault="299B7E54"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Não há necessidade de realização de avaliação prévia do local de execução dos serviços.</w:t>
      </w:r>
    </w:p>
    <w:p w14:paraId="7BA070C4" w14:textId="4D350A9A" w:rsidR="299B7E54" w:rsidRPr="00051ABE" w:rsidRDefault="299B7E54"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32F1F8E6"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proofErr w:type="gramStart"/>
      <w:r w:rsidRPr="00051ABE">
        <w:rPr>
          <w:rFonts w:ascii="Times New Roman" w:hAnsi="Times New Roman" w:cs="Times New Roman"/>
          <w:sz w:val="24"/>
          <w:szCs w:val="24"/>
        </w:rPr>
        <w:t>.....</w:t>
      </w:r>
      <w:proofErr w:type="gramEnd"/>
      <w:r w:rsidRPr="00051ABE">
        <w:rPr>
          <w:rFonts w:ascii="Times New Roman" w:hAnsi="Times New Roman" w:cs="Times New Roman"/>
          <w:sz w:val="24"/>
          <w:szCs w:val="24"/>
        </w:rPr>
        <w:t xml:space="preserve"> horas às ...... horas.  </w:t>
      </w:r>
    </w:p>
    <w:p w14:paraId="07E6668D"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Serão disponibilizados data e horário diferentes aos interessados em realizar a vistoria prévia. </w:t>
      </w:r>
      <w:commentRangeEnd w:id="12"/>
      <w:r w:rsidRPr="00051ABE">
        <w:rPr>
          <w:rFonts w:ascii="Times New Roman" w:hAnsi="Times New Roman" w:cs="Times New Roman"/>
          <w:sz w:val="24"/>
          <w:szCs w:val="24"/>
        </w:rPr>
        <w:commentReference w:id="12"/>
      </w:r>
    </w:p>
    <w:p w14:paraId="73900F57" w14:textId="4D33F103" w:rsidR="00573B28" w:rsidRPr="00051ABE" w:rsidRDefault="00573B28" w:rsidP="00954E1F">
      <w:pPr>
        <w:pStyle w:val="Nvel2-Red"/>
        <w:spacing w:line="240" w:lineRule="auto"/>
        <w:rPr>
          <w:rFonts w:ascii="Times New Roman" w:hAnsi="Times New Roman" w:cs="Times New Roman"/>
          <w:sz w:val="24"/>
          <w:szCs w:val="24"/>
          <w:lang w:eastAsia="en-US"/>
        </w:rPr>
      </w:pPr>
      <w:commentRangeStart w:id="13"/>
      <w:r w:rsidRPr="00051ABE">
        <w:rPr>
          <w:rFonts w:ascii="Times New Roman" w:hAnsi="Times New Roman" w:cs="Times New Roman"/>
          <w:sz w:val="24"/>
          <w:szCs w:val="24"/>
          <w:lang w:eastAsia="en-US"/>
        </w:rPr>
        <w:t>Para a vistoria, o representante legal da empresa ou responsável técnico deverá estar devidamente identificado, apresentando documento de identidade civil e documento expedido pela empresa comprovando sua habilitação para a realização da vistoria</w:t>
      </w:r>
      <w:commentRangeEnd w:id="13"/>
      <w:r w:rsidRPr="00051ABE">
        <w:rPr>
          <w:rFonts w:ascii="Times New Roman" w:hAnsi="Times New Roman" w:cs="Times New Roman"/>
          <w:sz w:val="24"/>
          <w:szCs w:val="24"/>
        </w:rPr>
        <w:commentReference w:id="13"/>
      </w:r>
      <w:r w:rsidRPr="00051ABE">
        <w:rPr>
          <w:rFonts w:ascii="Times New Roman" w:hAnsi="Times New Roman" w:cs="Times New Roman"/>
          <w:sz w:val="24"/>
          <w:szCs w:val="24"/>
          <w:lang w:eastAsia="en-US"/>
        </w:rPr>
        <w:t xml:space="preserve">. </w:t>
      </w:r>
    </w:p>
    <w:p w14:paraId="66434A36" w14:textId="583180B3" w:rsidR="00573B28" w:rsidRPr="00051ABE" w:rsidRDefault="08EDF0ED" w:rsidP="00954E1F">
      <w:pPr>
        <w:pStyle w:val="Nvel2-Red"/>
        <w:spacing w:line="240" w:lineRule="auto"/>
        <w:rPr>
          <w:rFonts w:ascii="Times New Roman" w:eastAsia="MS Mincho" w:hAnsi="Times New Roman" w:cs="Times New Roman"/>
          <w:sz w:val="24"/>
          <w:szCs w:val="24"/>
          <w:lang w:eastAsia="en-US"/>
        </w:rPr>
      </w:pPr>
      <w:r w:rsidRPr="00051ABE">
        <w:rPr>
          <w:rFonts w:ascii="Times New Roman" w:hAnsi="Times New Roman" w:cs="Times New Roman"/>
          <w:sz w:val="24"/>
          <w:szCs w:val="24"/>
          <w:lang w:eastAsia="en-US"/>
        </w:rPr>
        <w:t xml:space="preserve">Caso o licitante opte por não realizar a vistoria, deverá prestar declaração formal assinada pelo responsável técnico do licitante acerca do conhecimento pleno das condições e peculiaridades da contratação. </w:t>
      </w:r>
    </w:p>
    <w:p w14:paraId="78A96068" w14:textId="775316E5" w:rsidR="00573B28" w:rsidRPr="00051ABE" w:rsidRDefault="00573B28" w:rsidP="00954E1F">
      <w:pPr>
        <w:pStyle w:val="Nvel2-Red"/>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lastRenderedPageBreak/>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253974E" w14:textId="77777777" w:rsidR="00051ABE" w:rsidRPr="00051ABE" w:rsidRDefault="00051ABE" w:rsidP="00954E1F">
      <w:pPr>
        <w:pStyle w:val="Nvel2-Red"/>
        <w:numPr>
          <w:ilvl w:val="0"/>
          <w:numId w:val="0"/>
        </w:numPr>
        <w:spacing w:line="240" w:lineRule="auto"/>
        <w:rPr>
          <w:rFonts w:ascii="Times New Roman" w:hAnsi="Times New Roman" w:cs="Times New Roman"/>
          <w:sz w:val="24"/>
          <w:szCs w:val="24"/>
          <w:lang w:eastAsia="en-US"/>
        </w:rPr>
      </w:pPr>
    </w:p>
    <w:p w14:paraId="1B3E99EB" w14:textId="77777777" w:rsidR="00573B28" w:rsidRPr="00051ABE" w:rsidRDefault="00573B28" w:rsidP="00954E1F">
      <w:pPr>
        <w:pStyle w:val="Nivel01"/>
        <w:spacing w:before="120" w:line="240" w:lineRule="auto"/>
        <w:rPr>
          <w:rFonts w:ascii="Times New Roman" w:hAnsi="Times New Roman" w:cs="Times New Roman"/>
          <w:sz w:val="24"/>
          <w:szCs w:val="24"/>
        </w:rPr>
      </w:pPr>
      <w:commentRangeStart w:id="14"/>
      <w:r w:rsidRPr="00051ABE">
        <w:rPr>
          <w:rFonts w:ascii="Times New Roman" w:hAnsi="Times New Roman" w:cs="Times New Roman"/>
          <w:sz w:val="24"/>
          <w:szCs w:val="24"/>
        </w:rPr>
        <w:t>MODELO DE EXECUÇÃO DO OBJETO</w:t>
      </w:r>
      <w:commentRangeEnd w:id="14"/>
      <w:r w:rsidRPr="00051ABE">
        <w:rPr>
          <w:rFonts w:ascii="Times New Roman" w:hAnsi="Times New Roman" w:cs="Times New Roman"/>
          <w:sz w:val="24"/>
          <w:szCs w:val="24"/>
        </w:rPr>
        <w:commentReference w:id="14"/>
      </w:r>
    </w:p>
    <w:p w14:paraId="5B720DBC" w14:textId="77777777"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Condições de execução</w:t>
      </w:r>
    </w:p>
    <w:p w14:paraId="4185C74E" w14:textId="77777777" w:rsidR="00573B28" w:rsidRPr="00051ABE" w:rsidRDefault="00573B28" w:rsidP="00954E1F">
      <w:pPr>
        <w:pStyle w:val="Nvel2-Red"/>
        <w:spacing w:line="240" w:lineRule="auto"/>
        <w:rPr>
          <w:rFonts w:ascii="Times New Roman" w:hAnsi="Times New Roman" w:cs="Times New Roman"/>
          <w:sz w:val="24"/>
          <w:szCs w:val="24"/>
        </w:rPr>
      </w:pPr>
      <w:commentRangeStart w:id="15"/>
      <w:r w:rsidRPr="00051ABE">
        <w:rPr>
          <w:rFonts w:ascii="Times New Roman" w:hAnsi="Times New Roman" w:cs="Times New Roman"/>
          <w:sz w:val="24"/>
          <w:szCs w:val="24"/>
        </w:rPr>
        <w:t>A execução do objeto seguirá a seguinte dinâmica:</w:t>
      </w:r>
    </w:p>
    <w:p w14:paraId="443BC54A" w14:textId="77777777" w:rsidR="00573B28" w:rsidRPr="00051ABE" w:rsidRDefault="00573B28" w:rsidP="0020334C">
      <w:pPr>
        <w:pStyle w:val="Nvel3-R"/>
      </w:pPr>
      <w:r w:rsidRPr="00051ABE">
        <w:rPr>
          <w:color w:val="auto"/>
        </w:rPr>
        <w:t>Início da execução do objeto</w:t>
      </w:r>
      <w:r w:rsidRPr="00051ABE">
        <w:t xml:space="preserve">: </w:t>
      </w:r>
      <w:proofErr w:type="spellStart"/>
      <w:r w:rsidRPr="00051ABE">
        <w:t>xxx</w:t>
      </w:r>
      <w:proofErr w:type="spellEnd"/>
      <w:r w:rsidRPr="00051ABE">
        <w:t xml:space="preserve"> dias [da assinatura do contrato] OU [da emissão da ordem de serviço];</w:t>
      </w:r>
    </w:p>
    <w:p w14:paraId="440C8C70" w14:textId="77777777" w:rsidR="00573B28" w:rsidRPr="00051ABE" w:rsidRDefault="00573B28" w:rsidP="0020334C">
      <w:pPr>
        <w:pStyle w:val="Nvel3-R"/>
      </w:pPr>
      <w:r w:rsidRPr="00051ABE">
        <w:t>Descrição detalhada dos métodos, rotinas, etapas, tecnologias procedimentos, frequência e periodicidade de execução do trabalho: (...)</w:t>
      </w:r>
    </w:p>
    <w:p w14:paraId="7EC8227D" w14:textId="77777777" w:rsidR="00573B28" w:rsidRPr="00051ABE" w:rsidRDefault="00573B28" w:rsidP="0020334C">
      <w:pPr>
        <w:pStyle w:val="Nvel3-R"/>
      </w:pPr>
      <w:r w:rsidRPr="00051ABE">
        <w:t>Cronograma de realização dos serviços:</w:t>
      </w:r>
    </w:p>
    <w:p w14:paraId="5EE01935" w14:textId="77777777" w:rsidR="00573B28" w:rsidRDefault="00573B28" w:rsidP="0020334C">
      <w:pPr>
        <w:pStyle w:val="Nvel3-R"/>
      </w:pPr>
      <w:r w:rsidRPr="00051ABE">
        <w:t>Etapa ... Período / a partir de / após concluído ...</w:t>
      </w:r>
      <w:commentRangeEnd w:id="15"/>
      <w:r w:rsidRPr="00051ABE">
        <w:commentReference w:id="15"/>
      </w:r>
    </w:p>
    <w:p w14:paraId="02E71E71" w14:textId="77777777" w:rsidR="00954E1F" w:rsidRPr="00051ABE" w:rsidRDefault="00954E1F" w:rsidP="0020334C">
      <w:pPr>
        <w:pStyle w:val="Nvel3-R"/>
        <w:numPr>
          <w:ilvl w:val="0"/>
          <w:numId w:val="0"/>
        </w:numPr>
        <w:ind w:left="284"/>
      </w:pPr>
    </w:p>
    <w:p w14:paraId="398CD0CA" w14:textId="1D7E99F3" w:rsidR="00573B28" w:rsidRPr="00051ABE" w:rsidRDefault="00573B28" w:rsidP="00954E1F">
      <w:pPr>
        <w:pStyle w:val="Nvel01-SemNumerao"/>
        <w:spacing w:before="120" w:line="240" w:lineRule="auto"/>
        <w:rPr>
          <w:rFonts w:ascii="Times New Roman" w:hAnsi="Times New Roman" w:cs="Times New Roman"/>
          <w:sz w:val="24"/>
          <w:szCs w:val="24"/>
        </w:rPr>
      </w:pPr>
      <w:commentRangeStart w:id="16"/>
      <w:r w:rsidRPr="00051ABE">
        <w:rPr>
          <w:rFonts w:ascii="Times New Roman" w:hAnsi="Times New Roman" w:cs="Times New Roman"/>
          <w:sz w:val="24"/>
          <w:szCs w:val="24"/>
        </w:rPr>
        <w:t xml:space="preserve">Local </w:t>
      </w:r>
      <w:r w:rsidR="21C50374" w:rsidRPr="00051ABE">
        <w:rPr>
          <w:rFonts w:ascii="Times New Roman" w:hAnsi="Times New Roman" w:cs="Times New Roman"/>
          <w:sz w:val="24"/>
          <w:szCs w:val="24"/>
        </w:rPr>
        <w:t xml:space="preserve">e horário </w:t>
      </w:r>
      <w:r w:rsidRPr="00051ABE">
        <w:rPr>
          <w:rFonts w:ascii="Times New Roman" w:hAnsi="Times New Roman" w:cs="Times New Roman"/>
          <w:sz w:val="24"/>
          <w:szCs w:val="24"/>
        </w:rPr>
        <w:t>da prestação dos serviços</w:t>
      </w:r>
    </w:p>
    <w:p w14:paraId="6A32A63A"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Os serviços serão prestados no seguinte endereço [...]</w:t>
      </w:r>
      <w:commentRangeEnd w:id="16"/>
      <w:r w:rsidRPr="00051ABE">
        <w:rPr>
          <w:rFonts w:ascii="Times New Roman" w:hAnsi="Times New Roman" w:cs="Times New Roman"/>
          <w:sz w:val="24"/>
          <w:szCs w:val="24"/>
        </w:rPr>
        <w:commentReference w:id="16"/>
      </w:r>
    </w:p>
    <w:p w14:paraId="055F3DAE" w14:textId="5FA64142" w:rsidR="09D0EE63" w:rsidRPr="00051ABE" w:rsidRDefault="09D0EE63"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Os serviços serão prestados no seguinte horário: [...]</w:t>
      </w:r>
    </w:p>
    <w:p w14:paraId="1775B9D4" w14:textId="578A7AEE" w:rsidR="40AE469D" w:rsidRPr="00051ABE" w:rsidRDefault="40AE469D"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Rotinas a serem cumpridas</w:t>
      </w:r>
    </w:p>
    <w:p w14:paraId="3705547E" w14:textId="6CEEB2B7" w:rsidR="40AE469D" w:rsidRPr="00051ABE" w:rsidRDefault="0B4D1081" w:rsidP="00954E1F">
      <w:pPr>
        <w:pStyle w:val="Nvel2-Red"/>
        <w:spacing w:line="240" w:lineRule="auto"/>
        <w:rPr>
          <w:rFonts w:ascii="Times New Roman" w:eastAsia="MS Mincho" w:hAnsi="Times New Roman" w:cs="Times New Roman"/>
          <w:sz w:val="24"/>
          <w:szCs w:val="24"/>
        </w:rPr>
      </w:pPr>
      <w:r w:rsidRPr="00051ABE">
        <w:rPr>
          <w:rFonts w:ascii="Times New Roman" w:hAnsi="Times New Roman" w:cs="Times New Roman"/>
          <w:sz w:val="24"/>
          <w:szCs w:val="24"/>
        </w:rPr>
        <w:t xml:space="preserve">A execução contratual observará as rotinas [abaixo] / </w:t>
      </w:r>
      <w:r w:rsidR="65D96007" w:rsidRPr="00051ABE">
        <w:rPr>
          <w:rFonts w:ascii="Times New Roman" w:hAnsi="Times New Roman" w:cs="Times New Roman"/>
          <w:sz w:val="24"/>
          <w:szCs w:val="24"/>
        </w:rPr>
        <w:t>em anexo</w:t>
      </w:r>
    </w:p>
    <w:p w14:paraId="14A88483" w14:textId="61C57840" w:rsidR="40AE469D" w:rsidRPr="00051ABE" w:rsidRDefault="0CFEDE0C" w:rsidP="0020334C">
      <w:pPr>
        <w:pStyle w:val="Nvel3-R"/>
        <w:rPr>
          <w:color w:val="000000" w:themeColor="text1"/>
        </w:rPr>
      </w:pPr>
      <w:r w:rsidRPr="00051ABE">
        <w:t>[...]</w:t>
      </w:r>
      <w:r w:rsidR="40AE469D" w:rsidRPr="00051ABE">
        <w:rPr>
          <w:color w:val="000000" w:themeColor="text1"/>
        </w:rPr>
        <w:t>:</w:t>
      </w:r>
    </w:p>
    <w:p w14:paraId="4BC08115" w14:textId="19F9CAB5" w:rsidR="21D57103" w:rsidRPr="00051ABE" w:rsidRDefault="76611771" w:rsidP="0020334C">
      <w:pPr>
        <w:pStyle w:val="Nvel3-R"/>
        <w:rPr>
          <w:rFonts w:eastAsia="MS Mincho"/>
        </w:rPr>
      </w:pPr>
      <w:r w:rsidRPr="00051ABE">
        <w:t>[...]</w:t>
      </w:r>
    </w:p>
    <w:p w14:paraId="70AA67D6" w14:textId="3B87F290" w:rsidR="59CAC803" w:rsidRPr="00051ABE" w:rsidRDefault="59CAC803" w:rsidP="00954E1F">
      <w:pPr>
        <w:pStyle w:val="Nivel2"/>
        <w:numPr>
          <w:ilvl w:val="0"/>
          <w:numId w:val="0"/>
        </w:numPr>
        <w:spacing w:line="240" w:lineRule="auto"/>
        <w:ind w:left="207"/>
        <w:rPr>
          <w:rFonts w:ascii="Times New Roman" w:hAnsi="Times New Roman" w:cs="Times New Roman"/>
          <w:sz w:val="24"/>
          <w:szCs w:val="24"/>
        </w:rPr>
      </w:pPr>
    </w:p>
    <w:p w14:paraId="4A8292BF" w14:textId="77777777" w:rsidR="00573B28" w:rsidRPr="00051ABE" w:rsidRDefault="00573B28" w:rsidP="00954E1F">
      <w:pPr>
        <w:pStyle w:val="Nvel01-SemNumerao"/>
        <w:spacing w:before="120" w:line="240" w:lineRule="auto"/>
        <w:rPr>
          <w:rFonts w:ascii="Times New Roman" w:hAnsi="Times New Roman" w:cs="Times New Roman"/>
          <w:sz w:val="24"/>
          <w:szCs w:val="24"/>
        </w:rPr>
      </w:pPr>
      <w:commentRangeStart w:id="17"/>
      <w:r w:rsidRPr="00051ABE">
        <w:rPr>
          <w:rFonts w:ascii="Times New Roman" w:hAnsi="Times New Roman" w:cs="Times New Roman"/>
          <w:sz w:val="24"/>
          <w:szCs w:val="24"/>
        </w:rPr>
        <w:t>Materiais a serem disponibilizados</w:t>
      </w:r>
    </w:p>
    <w:p w14:paraId="0E449763"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Para a perfeita execução dos serviços, a Contratada deverá disponibilizar os materiais, equipamentos, ferramentas e utensílios necessários, nas quantidades estimadas e qualidades a seguir estabelecidas, promovendo sua substituição quando necessário:</w:t>
      </w:r>
      <w:commentRangeEnd w:id="17"/>
      <w:r w:rsidRPr="00051ABE">
        <w:rPr>
          <w:rFonts w:ascii="Times New Roman" w:hAnsi="Times New Roman" w:cs="Times New Roman"/>
          <w:sz w:val="24"/>
          <w:szCs w:val="24"/>
        </w:rPr>
        <w:commentReference w:id="17"/>
      </w:r>
    </w:p>
    <w:p w14:paraId="787056F3" w14:textId="77777777" w:rsidR="00573B28" w:rsidRPr="00051ABE" w:rsidRDefault="00573B28" w:rsidP="0020334C">
      <w:pPr>
        <w:pStyle w:val="Nvel3-R"/>
      </w:pPr>
      <w:r w:rsidRPr="00051ABE">
        <w:t>[.......];</w:t>
      </w:r>
    </w:p>
    <w:p w14:paraId="08C4AC01" w14:textId="77777777" w:rsidR="00573B28" w:rsidRPr="00051ABE" w:rsidRDefault="00573B28" w:rsidP="0020334C">
      <w:pPr>
        <w:pStyle w:val="Nvel3-R"/>
      </w:pPr>
      <w:r w:rsidRPr="00051ABE">
        <w:t>[.......];</w:t>
      </w:r>
    </w:p>
    <w:p w14:paraId="3E952B77" w14:textId="77777777" w:rsidR="00573B28" w:rsidRPr="00051ABE" w:rsidRDefault="00573B28" w:rsidP="00954E1F">
      <w:pPr>
        <w:pStyle w:val="Nvel01-SemNumerao"/>
        <w:spacing w:before="120" w:line="240" w:lineRule="auto"/>
        <w:rPr>
          <w:rFonts w:ascii="Times New Roman" w:hAnsi="Times New Roman" w:cs="Times New Roman"/>
          <w:sz w:val="24"/>
          <w:szCs w:val="24"/>
        </w:rPr>
      </w:pPr>
      <w:commentRangeStart w:id="18"/>
      <w:r w:rsidRPr="00051ABE">
        <w:rPr>
          <w:rFonts w:ascii="Times New Roman" w:hAnsi="Times New Roman" w:cs="Times New Roman"/>
          <w:sz w:val="24"/>
          <w:szCs w:val="24"/>
        </w:rPr>
        <w:t>Informações relevantes para o dimensionamento da proposta</w:t>
      </w:r>
    </w:p>
    <w:p w14:paraId="7BB1429A"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A demanda do órgão tem como base as seguintes características:</w:t>
      </w:r>
      <w:commentRangeEnd w:id="18"/>
      <w:r w:rsidRPr="00051ABE">
        <w:rPr>
          <w:rFonts w:ascii="Times New Roman" w:hAnsi="Times New Roman" w:cs="Times New Roman"/>
          <w:sz w:val="24"/>
          <w:szCs w:val="24"/>
        </w:rPr>
        <w:commentReference w:id="18"/>
      </w:r>
    </w:p>
    <w:p w14:paraId="5A550DFF" w14:textId="77777777" w:rsidR="00573B28" w:rsidRPr="00051ABE" w:rsidRDefault="00573B28" w:rsidP="0020334C">
      <w:pPr>
        <w:pStyle w:val="Nvel3-R"/>
      </w:pPr>
      <w:r w:rsidRPr="00051ABE">
        <w:t>[.......];</w:t>
      </w:r>
    </w:p>
    <w:p w14:paraId="0C06D9D0" w14:textId="77777777" w:rsidR="00573B28" w:rsidRDefault="00573B28" w:rsidP="0020334C">
      <w:pPr>
        <w:pStyle w:val="Nvel3-R"/>
      </w:pPr>
      <w:r w:rsidRPr="00051ABE">
        <w:t>[.......];</w:t>
      </w:r>
    </w:p>
    <w:p w14:paraId="27A6FC89" w14:textId="77777777" w:rsidR="00954E1F" w:rsidRPr="00051ABE" w:rsidRDefault="00954E1F" w:rsidP="0020334C">
      <w:pPr>
        <w:pStyle w:val="Nvel3-R"/>
        <w:numPr>
          <w:ilvl w:val="0"/>
          <w:numId w:val="0"/>
        </w:numPr>
        <w:ind w:left="284"/>
      </w:pPr>
    </w:p>
    <w:p w14:paraId="7640C742" w14:textId="1F6624B9" w:rsidR="00573B28" w:rsidRPr="00051ABE" w:rsidRDefault="00573B28" w:rsidP="00954E1F">
      <w:pPr>
        <w:pStyle w:val="Nvel01-SemNumerao"/>
        <w:spacing w:before="120" w:line="240" w:lineRule="auto"/>
        <w:rPr>
          <w:rFonts w:ascii="Times New Roman" w:eastAsia="Calibri" w:hAnsi="Times New Roman" w:cs="Times New Roman"/>
          <w:sz w:val="24"/>
          <w:szCs w:val="24"/>
        </w:rPr>
      </w:pPr>
      <w:commentRangeStart w:id="19"/>
      <w:r w:rsidRPr="00051ABE">
        <w:rPr>
          <w:rFonts w:ascii="Times New Roman" w:hAnsi="Times New Roman" w:cs="Times New Roman"/>
          <w:sz w:val="24"/>
          <w:szCs w:val="24"/>
        </w:rPr>
        <w:t>Especificação da garantia do serviço (</w:t>
      </w:r>
      <w:hyperlink r:id="rId16" w:anchor="art40§1">
        <w:r w:rsidRPr="00051ABE">
          <w:rPr>
            <w:rStyle w:val="Hyperlink"/>
            <w:rFonts w:ascii="Times New Roman" w:hAnsi="Times New Roman" w:cs="Times New Roman"/>
            <w:sz w:val="24"/>
            <w:szCs w:val="24"/>
          </w:rPr>
          <w:t>art. 40, §1º, inciso III, da Lei nº 14.133, de 2021</w:t>
        </w:r>
      </w:hyperlink>
      <w:r w:rsidRPr="00051ABE">
        <w:rPr>
          <w:rFonts w:ascii="Times New Roman" w:hAnsi="Times New Roman" w:cs="Times New Roman"/>
          <w:sz w:val="24"/>
          <w:szCs w:val="24"/>
        </w:rPr>
        <w:t>)</w:t>
      </w:r>
      <w:commentRangeEnd w:id="19"/>
      <w:r w:rsidRPr="00051ABE">
        <w:rPr>
          <w:rFonts w:ascii="Times New Roman" w:hAnsi="Times New Roman" w:cs="Times New Roman"/>
          <w:sz w:val="24"/>
          <w:szCs w:val="24"/>
        </w:rPr>
        <w:commentReference w:id="19"/>
      </w:r>
    </w:p>
    <w:p w14:paraId="138F86C7" w14:textId="5E9CCBE4"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O prazo de garantia contratual dos serviços é aquele estabelecido </w:t>
      </w:r>
      <w:hyperlink r:id="rId17">
        <w:r w:rsidRPr="00051ABE">
          <w:rPr>
            <w:rStyle w:val="Hyperlink"/>
            <w:rFonts w:ascii="Times New Roman" w:hAnsi="Times New Roman" w:cs="Times New Roman"/>
            <w:sz w:val="24"/>
            <w:szCs w:val="24"/>
          </w:rPr>
          <w:t>na Lei nº 8.078, de 11 de setembro de 1990</w:t>
        </w:r>
      </w:hyperlink>
      <w:r w:rsidRPr="00051ABE">
        <w:rPr>
          <w:rFonts w:ascii="Times New Roman" w:hAnsi="Times New Roman" w:cs="Times New Roman"/>
          <w:sz w:val="24"/>
          <w:szCs w:val="24"/>
        </w:rPr>
        <w:t xml:space="preserve"> (Código de Defesa do Consumidor).</w:t>
      </w:r>
    </w:p>
    <w:p w14:paraId="043246F4" w14:textId="77777777" w:rsidR="00573B28" w:rsidRPr="00051ABE" w:rsidRDefault="3E4F9A9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OU </w:t>
      </w:r>
    </w:p>
    <w:p w14:paraId="157A1D87" w14:textId="50787F45" w:rsidR="21D57103"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lastRenderedPageBreak/>
        <w:t>O prazo de garantia contratual dos serviços, complementar à garantia legal, será de, no mínimo _____ (___) meses, contado a partir do primeiro dia útil subsequente à data do recebimento definitivo do objeto.</w:t>
      </w:r>
    </w:p>
    <w:p w14:paraId="1F0402B2" w14:textId="456B37D9" w:rsidR="5C05E47A" w:rsidRPr="00051ABE" w:rsidRDefault="1D00ED72" w:rsidP="00954E1F">
      <w:pPr>
        <w:pStyle w:val="Nvel1-SemNum"/>
        <w:spacing w:before="120" w:line="240" w:lineRule="auto"/>
        <w:rPr>
          <w:rFonts w:ascii="Times New Roman" w:hAnsi="Times New Roman" w:cs="Times New Roman"/>
          <w:i/>
          <w:iCs/>
          <w:sz w:val="24"/>
          <w:szCs w:val="24"/>
        </w:rPr>
      </w:pPr>
      <w:commentRangeStart w:id="20"/>
      <w:r w:rsidRPr="00051ABE">
        <w:rPr>
          <w:rFonts w:ascii="Times New Roman" w:hAnsi="Times New Roman" w:cs="Times New Roman"/>
          <w:sz w:val="24"/>
          <w:szCs w:val="24"/>
        </w:rPr>
        <w:t>Procedimentos de transição e finalização do contrato</w:t>
      </w:r>
      <w:commentRangeEnd w:id="20"/>
      <w:r w:rsidR="5C05E47A" w:rsidRPr="00051ABE">
        <w:rPr>
          <w:rFonts w:ascii="Times New Roman" w:hAnsi="Times New Roman" w:cs="Times New Roman"/>
          <w:sz w:val="24"/>
          <w:szCs w:val="24"/>
        </w:rPr>
        <w:commentReference w:id="20"/>
      </w:r>
    </w:p>
    <w:p w14:paraId="084E5C55" w14:textId="29C4A00C" w:rsidR="1D00ED72" w:rsidRPr="00051ABE" w:rsidRDefault="1D00ED72" w:rsidP="00954E1F">
      <w:pPr>
        <w:pStyle w:val="Nvel2-Red"/>
        <w:numPr>
          <w:ilvl w:val="1"/>
          <w:numId w:val="13"/>
        </w:numPr>
        <w:spacing w:line="240" w:lineRule="auto"/>
        <w:rPr>
          <w:rFonts w:ascii="Times New Roman" w:eastAsia="MS Mincho" w:hAnsi="Times New Roman" w:cs="Times New Roman"/>
          <w:sz w:val="24"/>
          <w:szCs w:val="24"/>
        </w:rPr>
      </w:pPr>
      <w:r w:rsidRPr="00051ABE">
        <w:rPr>
          <w:rFonts w:ascii="Times New Roman" w:hAnsi="Times New Roman" w:cs="Times New Roman"/>
          <w:sz w:val="24"/>
          <w:szCs w:val="24"/>
        </w:rPr>
        <w:t>Os procedimentos de transição e finalização do contrato constituem-se das seguintes etapas [...];</w:t>
      </w:r>
    </w:p>
    <w:p w14:paraId="2EA2FFAA" w14:textId="5009DC75" w:rsidR="1D00ED72" w:rsidRPr="00051ABE" w:rsidRDefault="1D00ED72" w:rsidP="00954E1F">
      <w:pPr>
        <w:pStyle w:val="Nvel2-Red"/>
        <w:numPr>
          <w:ilvl w:val="0"/>
          <w:numId w:val="0"/>
        </w:numPr>
        <w:spacing w:line="240" w:lineRule="auto"/>
        <w:ind w:left="1440"/>
        <w:rPr>
          <w:rFonts w:ascii="Times New Roman" w:eastAsia="MS Mincho" w:hAnsi="Times New Roman" w:cs="Times New Roman"/>
          <w:sz w:val="24"/>
          <w:szCs w:val="24"/>
        </w:rPr>
      </w:pPr>
      <w:r w:rsidRPr="00051ABE">
        <w:rPr>
          <w:rFonts w:ascii="Times New Roman" w:hAnsi="Times New Roman" w:cs="Times New Roman"/>
          <w:sz w:val="24"/>
          <w:szCs w:val="24"/>
        </w:rPr>
        <w:t>a) ...</w:t>
      </w:r>
    </w:p>
    <w:p w14:paraId="588EA0FF" w14:textId="79D00C67" w:rsidR="1D00ED72" w:rsidRPr="00051ABE" w:rsidRDefault="1D00ED72" w:rsidP="00954E1F">
      <w:pPr>
        <w:pStyle w:val="Nvel2-Red"/>
        <w:numPr>
          <w:ilvl w:val="0"/>
          <w:numId w:val="0"/>
        </w:numPr>
        <w:spacing w:line="240" w:lineRule="auto"/>
        <w:ind w:left="1440"/>
        <w:rPr>
          <w:rFonts w:ascii="Times New Roman" w:hAnsi="Times New Roman" w:cs="Times New Roman"/>
          <w:sz w:val="24"/>
          <w:szCs w:val="24"/>
        </w:rPr>
      </w:pPr>
      <w:r w:rsidRPr="00051ABE">
        <w:rPr>
          <w:rFonts w:ascii="Times New Roman" w:hAnsi="Times New Roman" w:cs="Times New Roman"/>
          <w:sz w:val="24"/>
          <w:szCs w:val="24"/>
        </w:rPr>
        <w:t>b) ....</w:t>
      </w:r>
    </w:p>
    <w:p w14:paraId="4863018B" w14:textId="510551BF" w:rsidR="1D00ED72" w:rsidRPr="00051ABE" w:rsidRDefault="1D00ED72" w:rsidP="00954E1F">
      <w:pPr>
        <w:pStyle w:val="Nvel2-Red"/>
        <w:numPr>
          <w:ilvl w:val="0"/>
          <w:numId w:val="0"/>
        </w:numPr>
        <w:spacing w:line="240" w:lineRule="auto"/>
        <w:ind w:left="1440"/>
        <w:rPr>
          <w:rFonts w:ascii="Times New Roman" w:hAnsi="Times New Roman" w:cs="Times New Roman"/>
          <w:sz w:val="24"/>
          <w:szCs w:val="24"/>
        </w:rPr>
      </w:pPr>
      <w:r w:rsidRPr="00051ABE">
        <w:rPr>
          <w:rFonts w:ascii="Times New Roman" w:hAnsi="Times New Roman" w:cs="Times New Roman"/>
          <w:sz w:val="24"/>
          <w:szCs w:val="24"/>
        </w:rPr>
        <w:t>c) ...</w:t>
      </w:r>
    </w:p>
    <w:p w14:paraId="7511D080" w14:textId="24524C8A" w:rsidR="1D00ED72" w:rsidRPr="00051ABE" w:rsidRDefault="1D00ED72" w:rsidP="00954E1F">
      <w:pPr>
        <w:pStyle w:val="Nvel2-Red"/>
        <w:numPr>
          <w:ilvl w:val="0"/>
          <w:numId w:val="0"/>
        </w:numPr>
        <w:spacing w:line="240" w:lineRule="auto"/>
        <w:ind w:left="990"/>
        <w:rPr>
          <w:rFonts w:ascii="Times New Roman" w:hAnsi="Times New Roman" w:cs="Times New Roman"/>
          <w:sz w:val="24"/>
          <w:szCs w:val="24"/>
        </w:rPr>
      </w:pPr>
      <w:r w:rsidRPr="00051ABE">
        <w:rPr>
          <w:rFonts w:ascii="Times New Roman" w:hAnsi="Times New Roman" w:cs="Times New Roman"/>
          <w:sz w:val="24"/>
          <w:szCs w:val="24"/>
        </w:rPr>
        <w:t xml:space="preserve">OU </w:t>
      </w:r>
    </w:p>
    <w:p w14:paraId="4CEBE5CC" w14:textId="28C2976B" w:rsidR="1D00ED72" w:rsidRDefault="1D00ED72" w:rsidP="00954E1F">
      <w:pPr>
        <w:pStyle w:val="Nvel2-Red"/>
        <w:numPr>
          <w:ilvl w:val="1"/>
          <w:numId w:val="13"/>
        </w:numPr>
        <w:spacing w:line="240" w:lineRule="auto"/>
        <w:rPr>
          <w:rFonts w:ascii="Times New Roman" w:hAnsi="Times New Roman" w:cs="Times New Roman"/>
          <w:sz w:val="24"/>
          <w:szCs w:val="24"/>
        </w:rPr>
      </w:pPr>
      <w:r w:rsidRPr="00051ABE">
        <w:rPr>
          <w:rFonts w:ascii="Times New Roman" w:hAnsi="Times New Roman" w:cs="Times New Roman"/>
          <w:sz w:val="24"/>
          <w:szCs w:val="24"/>
        </w:rPr>
        <w:t>Não serão necessários procedimentos de transição e finalização do contrato devido às características do objeto.</w:t>
      </w:r>
    </w:p>
    <w:p w14:paraId="55F26C73" w14:textId="77777777" w:rsidR="00954E1F" w:rsidRPr="00051ABE" w:rsidRDefault="00954E1F" w:rsidP="00954E1F">
      <w:pPr>
        <w:pStyle w:val="Nvel2-Red"/>
        <w:numPr>
          <w:ilvl w:val="0"/>
          <w:numId w:val="0"/>
        </w:numPr>
        <w:spacing w:line="240" w:lineRule="auto"/>
        <w:ind w:left="1440"/>
        <w:rPr>
          <w:rFonts w:ascii="Times New Roman" w:hAnsi="Times New Roman" w:cs="Times New Roman"/>
          <w:sz w:val="24"/>
          <w:szCs w:val="24"/>
        </w:rPr>
      </w:pPr>
    </w:p>
    <w:p w14:paraId="57495A5B" w14:textId="77777777" w:rsidR="00573B28" w:rsidRPr="00051ABE" w:rsidRDefault="00573B28" w:rsidP="00954E1F">
      <w:pPr>
        <w:pStyle w:val="Nivel01"/>
        <w:spacing w:before="120" w:line="240" w:lineRule="auto"/>
        <w:rPr>
          <w:rFonts w:ascii="Times New Roman" w:hAnsi="Times New Roman" w:cs="Times New Roman"/>
          <w:sz w:val="24"/>
          <w:szCs w:val="24"/>
        </w:rPr>
      </w:pPr>
      <w:commentRangeStart w:id="21"/>
      <w:r w:rsidRPr="00051ABE">
        <w:rPr>
          <w:rFonts w:ascii="Times New Roman" w:hAnsi="Times New Roman" w:cs="Times New Roman"/>
          <w:sz w:val="24"/>
          <w:szCs w:val="24"/>
        </w:rPr>
        <w:t>MODELO DE GESTÃO DO CONTRATO</w:t>
      </w:r>
      <w:commentRangeEnd w:id="21"/>
      <w:r w:rsidRPr="00051ABE">
        <w:rPr>
          <w:rFonts w:ascii="Times New Roman" w:hAnsi="Times New Roman" w:cs="Times New Roman"/>
          <w:sz w:val="24"/>
          <w:szCs w:val="24"/>
        </w:rPr>
        <w:commentReference w:id="21"/>
      </w:r>
    </w:p>
    <w:p w14:paraId="341C33FE"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3903766F"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54E34E06"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2F3523E2"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O órgão ou entidade poderá convocar representante da empresa para adoção de providências que devam ser cumpridas de imediato.</w:t>
      </w:r>
    </w:p>
    <w:p w14:paraId="24AE5791" w14:textId="77777777" w:rsidR="00573B28"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8118BBC" w14:textId="77777777" w:rsidR="00954E1F" w:rsidRPr="00051ABE" w:rsidRDefault="00954E1F" w:rsidP="00954E1F">
      <w:pPr>
        <w:pStyle w:val="Nvel2-Red"/>
        <w:numPr>
          <w:ilvl w:val="0"/>
          <w:numId w:val="0"/>
        </w:numPr>
        <w:spacing w:line="240" w:lineRule="auto"/>
        <w:rPr>
          <w:rFonts w:ascii="Times New Roman" w:hAnsi="Times New Roman" w:cs="Times New Roman"/>
          <w:sz w:val="24"/>
          <w:szCs w:val="24"/>
        </w:rPr>
      </w:pPr>
    </w:p>
    <w:p w14:paraId="47E3079F" w14:textId="0495E4D4" w:rsidR="63E73D06" w:rsidRPr="00051ABE" w:rsidRDefault="63E73D06" w:rsidP="00954E1F">
      <w:pPr>
        <w:pStyle w:val="Nvel01-SemNumerao"/>
        <w:spacing w:before="120" w:line="240" w:lineRule="auto"/>
        <w:rPr>
          <w:rFonts w:ascii="Times New Roman" w:hAnsi="Times New Roman" w:cs="Times New Roman"/>
          <w:sz w:val="24"/>
          <w:szCs w:val="24"/>
        </w:rPr>
      </w:pPr>
      <w:commentRangeStart w:id="22"/>
      <w:r w:rsidRPr="00051ABE">
        <w:rPr>
          <w:rFonts w:ascii="Times New Roman" w:hAnsi="Times New Roman" w:cs="Times New Roman"/>
          <w:sz w:val="24"/>
          <w:szCs w:val="24"/>
        </w:rPr>
        <w:t>Preposto</w:t>
      </w:r>
      <w:commentRangeEnd w:id="22"/>
      <w:r w:rsidRPr="00051ABE">
        <w:rPr>
          <w:rFonts w:ascii="Times New Roman" w:hAnsi="Times New Roman" w:cs="Times New Roman"/>
          <w:sz w:val="24"/>
          <w:szCs w:val="24"/>
        </w:rPr>
        <w:commentReference w:id="22"/>
      </w:r>
    </w:p>
    <w:p w14:paraId="21E1E0AA" w14:textId="32F7FDAF" w:rsidR="63E73D06" w:rsidRPr="00051ABE" w:rsidRDefault="63E73D06"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A Contratada designará formalmente o preposto da empresa, antes do início da prestação dos serviços, indicando no instrumento os poderes e deveres em relação à execução do objeto contratado.</w:t>
      </w:r>
    </w:p>
    <w:p w14:paraId="1CBD802B" w14:textId="5AA3E91D" w:rsidR="63E73D06" w:rsidRPr="00051ABE" w:rsidRDefault="63E73D06"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A Contratada deverá manter preposto da empresa no local da execução do objeto durante o período .......... </w:t>
      </w:r>
    </w:p>
    <w:p w14:paraId="3067918B" w14:textId="26101D19" w:rsidR="63E73D06" w:rsidRDefault="63E73D06"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A Contratante poderá recusar, desde que justificadamente, a indicação ou a manutenção do preposto da empresa, hipótese em que a Contratada designará outro para o exercício da atividade.</w:t>
      </w:r>
    </w:p>
    <w:p w14:paraId="04C59675" w14:textId="77777777" w:rsidR="00954E1F" w:rsidRPr="00051ABE" w:rsidRDefault="00954E1F" w:rsidP="00954E1F">
      <w:pPr>
        <w:pStyle w:val="Nivel2"/>
        <w:numPr>
          <w:ilvl w:val="0"/>
          <w:numId w:val="0"/>
        </w:numPr>
        <w:spacing w:line="240" w:lineRule="auto"/>
        <w:rPr>
          <w:rFonts w:ascii="Times New Roman" w:hAnsi="Times New Roman" w:cs="Times New Roman"/>
          <w:sz w:val="24"/>
          <w:szCs w:val="24"/>
        </w:rPr>
      </w:pPr>
    </w:p>
    <w:p w14:paraId="206149C3" w14:textId="77777777" w:rsidR="00954E1F" w:rsidRPr="00F4472E" w:rsidRDefault="00954E1F" w:rsidP="00954E1F">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lastRenderedPageBreak/>
        <w:t>Fiscalização</w:t>
      </w:r>
    </w:p>
    <w:p w14:paraId="4F577164"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acompanhará a execução do contrato, para que sejam cumpridas todas as condições estabelecidas no contrato, de modo a assegurar os melhores resultados para a Administração;</w:t>
      </w:r>
    </w:p>
    <w:p w14:paraId="68A5E1F7" w14:textId="77777777" w:rsidR="00954E1F" w:rsidRDefault="00954E1F" w:rsidP="0020334C">
      <w:pPr>
        <w:pStyle w:val="Nivel3"/>
      </w:pPr>
      <w:r w:rsidRPr="004029DA">
        <w:t>O fiscal do contrato anotará no histórico de gerenciamento do contrato todas as ocorrências relacionadas à execução do contrato, com a descrição do que for necessário para a regularização das faltas ou dos defeitos observados. (</w:t>
      </w:r>
      <w:hyperlink r:id="rId18" w:anchor="art117§1">
        <w:r w:rsidRPr="004029DA">
          <w:rPr>
            <w:rStyle w:val="Hyperlink"/>
          </w:rPr>
          <w:t>Lei nº 14.133, de 2021, art. 117, §1º</w:t>
        </w:r>
      </w:hyperlink>
      <w:r>
        <w:rPr>
          <w:rStyle w:val="Hyperlink"/>
        </w:rPr>
        <w:t>);</w:t>
      </w:r>
      <w:r w:rsidRPr="004029DA">
        <w:t xml:space="preserve"> </w:t>
      </w:r>
    </w:p>
    <w:p w14:paraId="3EDABC5D" w14:textId="77777777" w:rsidR="00954E1F" w:rsidRPr="004029DA" w:rsidRDefault="00954E1F" w:rsidP="0020334C">
      <w:pPr>
        <w:pStyle w:val="Nivel3"/>
      </w:pPr>
      <w:r w:rsidRPr="004029DA">
        <w:t xml:space="preserve">Identificada qualquer inexatidão ou irregularidade, o fiscal do contrato emitirá notificações para a correção da execução do contrato, determinando prazo para a correção. </w:t>
      </w:r>
    </w:p>
    <w:p w14:paraId="68790A62" w14:textId="77777777" w:rsidR="00954E1F" w:rsidRPr="00F4472E" w:rsidRDefault="00954E1F" w:rsidP="0020334C">
      <w:pPr>
        <w:pStyle w:val="Nivel3"/>
      </w:pPr>
      <w:r w:rsidRPr="00F4472E">
        <w:t>O fiscal do contrato informará ao gestor do contato, em tempo hábil, a situação que demandar decisão ou adoção de medidas que ultrapassem sua competência, para que adote as medidas necessárias e saneadoras, se for o caso.</w:t>
      </w:r>
    </w:p>
    <w:p w14:paraId="06904033" w14:textId="77777777" w:rsidR="00954E1F" w:rsidRPr="00F4472E" w:rsidRDefault="00954E1F" w:rsidP="0020334C">
      <w:pPr>
        <w:pStyle w:val="Nivel3"/>
      </w:pPr>
      <w:r w:rsidRPr="00F4472E">
        <w:t>No caso de ocorrências que possam inviabilizar a execução do contrato nas datas aprazadas, o fiscal do contrato comunicará o fato imediatamente ao gestor do contrato.</w:t>
      </w:r>
    </w:p>
    <w:p w14:paraId="66FB9BE6" w14:textId="77777777" w:rsidR="00954E1F" w:rsidRPr="00F4472E" w:rsidRDefault="00954E1F" w:rsidP="0020334C">
      <w:pPr>
        <w:pStyle w:val="Nivel3"/>
      </w:pPr>
      <w:r w:rsidRPr="00F4472E">
        <w:t>O fiscal do contrato comunicará ao gestor do contrato, em tempo hábil, o término do contrato sob sua responsabilidade, com vistas à renovação tempestiva ou à prorrogação contratual</w:t>
      </w:r>
      <w:r>
        <w:t>.</w:t>
      </w:r>
    </w:p>
    <w:p w14:paraId="5D98A94F"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44A424F9" w14:textId="77777777" w:rsidR="00954E1F" w:rsidRDefault="00954E1F" w:rsidP="0020334C">
      <w:pPr>
        <w:pStyle w:val="Nivel3"/>
      </w:pPr>
      <w:r w:rsidRPr="00F4472E">
        <w:t>Caso ocorra descumprimento das obrigações contratuais, o fiscal</w:t>
      </w:r>
      <w:r>
        <w:t xml:space="preserve"> </w:t>
      </w:r>
      <w:r w:rsidRPr="00F4472E">
        <w:t>do contrato atuará tempestivamente na solução do problema, reportando ao gestor do contrato para que tome as providências cabíveis, quando ultrapassar a sua competência</w:t>
      </w:r>
      <w:r>
        <w:t>.</w:t>
      </w:r>
    </w:p>
    <w:p w14:paraId="682B4629" w14:textId="77777777" w:rsidR="00954E1F" w:rsidRDefault="00954E1F" w:rsidP="0020334C">
      <w:pPr>
        <w:pStyle w:val="Nivel3"/>
        <w:numPr>
          <w:ilvl w:val="0"/>
          <w:numId w:val="0"/>
        </w:numPr>
        <w:ind w:left="284"/>
      </w:pPr>
    </w:p>
    <w:p w14:paraId="5F2F8DB3" w14:textId="77777777" w:rsidR="00954E1F" w:rsidRPr="00F4472E" w:rsidRDefault="00954E1F" w:rsidP="00954E1F">
      <w:pPr>
        <w:pStyle w:val="Nvel1-SemNumPreto"/>
        <w:spacing w:before="120" w:line="240" w:lineRule="auto"/>
        <w:rPr>
          <w:rFonts w:ascii="Times New Roman" w:hAnsi="Times New Roman" w:cs="Times New Roman"/>
          <w:i/>
          <w:iCs/>
          <w:sz w:val="24"/>
          <w:szCs w:val="24"/>
        </w:rPr>
      </w:pPr>
      <w:r w:rsidRPr="00F4472E">
        <w:rPr>
          <w:rFonts w:ascii="Times New Roman" w:hAnsi="Times New Roman" w:cs="Times New Roman"/>
          <w:sz w:val="24"/>
          <w:szCs w:val="24"/>
        </w:rPr>
        <w:t>Gestor do Contrato</w:t>
      </w:r>
    </w:p>
    <w:p w14:paraId="3E5C0111"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AA1B85F"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592B147D"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64BDE28A" w14:textId="77777777" w:rsidR="00954E1F" w:rsidRPr="00F4472E" w:rsidRDefault="00954E1F" w:rsidP="00954E1F">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7A0A4CC7" w14:textId="71983CC6" w:rsidR="00954E1F" w:rsidRPr="0006186C" w:rsidRDefault="00954E1F" w:rsidP="0006186C">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gestor do contrato deverá enviar a documentação pertinente ao</w:t>
      </w:r>
      <w:r>
        <w:rPr>
          <w:rFonts w:ascii="Times New Roman" w:hAnsi="Times New Roman" w:cs="Times New Roman"/>
          <w:sz w:val="24"/>
          <w:szCs w:val="24"/>
        </w:rPr>
        <w:t xml:space="preserve"> setor responsável </w:t>
      </w:r>
      <w:r w:rsidRPr="00F4472E">
        <w:rPr>
          <w:rFonts w:ascii="Times New Roman" w:hAnsi="Times New Roman" w:cs="Times New Roman"/>
          <w:sz w:val="24"/>
          <w:szCs w:val="24"/>
        </w:rPr>
        <w:t>para a formalização dos procedimentos de liquidação e pagamento, no valor dimensionado pela fiscalização e gestão nos termos do contrato.</w:t>
      </w:r>
    </w:p>
    <w:p w14:paraId="06A0FBE0" w14:textId="77777777" w:rsidR="00573B28" w:rsidRPr="00051ABE" w:rsidRDefault="00573B28" w:rsidP="00954E1F">
      <w:pPr>
        <w:pStyle w:val="Nivel01"/>
        <w:spacing w:before="120" w:line="240" w:lineRule="auto"/>
        <w:rPr>
          <w:rFonts w:ascii="Times New Roman" w:hAnsi="Times New Roman" w:cs="Times New Roman"/>
          <w:sz w:val="24"/>
          <w:szCs w:val="24"/>
        </w:rPr>
      </w:pPr>
      <w:commentRangeStart w:id="23"/>
      <w:r w:rsidRPr="00051ABE">
        <w:rPr>
          <w:rFonts w:ascii="Times New Roman" w:hAnsi="Times New Roman" w:cs="Times New Roman"/>
          <w:sz w:val="24"/>
          <w:szCs w:val="24"/>
        </w:rPr>
        <w:lastRenderedPageBreak/>
        <w:t>CRITÉRIOS DE MEDIÇÃO E PAGAMENTO</w:t>
      </w:r>
      <w:commentRangeEnd w:id="23"/>
      <w:r w:rsidRPr="00051ABE">
        <w:rPr>
          <w:rFonts w:ascii="Times New Roman" w:hAnsi="Times New Roman" w:cs="Times New Roman"/>
          <w:sz w:val="24"/>
          <w:szCs w:val="24"/>
        </w:rPr>
        <w:commentReference w:id="23"/>
      </w:r>
    </w:p>
    <w:p w14:paraId="23BC9135" w14:textId="77777777" w:rsidR="00573B28" w:rsidRPr="00051ABE" w:rsidRDefault="00573B28" w:rsidP="00954E1F">
      <w:pPr>
        <w:pStyle w:val="Nivel2"/>
        <w:spacing w:line="240" w:lineRule="auto"/>
        <w:rPr>
          <w:rFonts w:ascii="Times New Roman" w:hAnsi="Times New Roman" w:cs="Times New Roman"/>
          <w:color w:val="000000" w:themeColor="text1"/>
          <w:sz w:val="24"/>
          <w:szCs w:val="24"/>
        </w:rPr>
      </w:pPr>
      <w:r w:rsidRPr="00051ABE">
        <w:rPr>
          <w:rFonts w:ascii="Times New Roman" w:hAnsi="Times New Roman" w:cs="Times New Roman"/>
          <w:color w:val="000000" w:themeColor="text1"/>
          <w:sz w:val="24"/>
          <w:szCs w:val="24"/>
        </w:rPr>
        <w:t xml:space="preserve">A avaliação da execução do objeto utilizará </w:t>
      </w:r>
      <w:r w:rsidRPr="00051ABE">
        <w:rPr>
          <w:rFonts w:ascii="Times New Roman" w:hAnsi="Times New Roman" w:cs="Times New Roman"/>
          <w:sz w:val="24"/>
          <w:szCs w:val="24"/>
        </w:rPr>
        <w:t xml:space="preserve">o Instrumento de Medição de Resultado (IMR), conforme previsto no Anexo XXX, </w:t>
      </w:r>
      <w:r w:rsidRPr="00051ABE">
        <w:rPr>
          <w:rFonts w:ascii="Times New Roman" w:hAnsi="Times New Roman" w:cs="Times New Roman"/>
          <w:b/>
          <w:bCs/>
          <w:sz w:val="24"/>
          <w:szCs w:val="24"/>
          <w:u w:val="single"/>
        </w:rPr>
        <w:t>OU</w:t>
      </w:r>
      <w:r w:rsidRPr="00051ABE">
        <w:rPr>
          <w:rFonts w:ascii="Times New Roman" w:hAnsi="Times New Roman" w:cs="Times New Roman"/>
          <w:sz w:val="24"/>
          <w:szCs w:val="24"/>
        </w:rPr>
        <w:t xml:space="preserve"> outro instrumento substituto para aferição da qualidade da prestação dos serviços </w:t>
      </w:r>
      <w:r w:rsidRPr="00051ABE">
        <w:rPr>
          <w:rFonts w:ascii="Times New Roman" w:hAnsi="Times New Roman" w:cs="Times New Roman"/>
          <w:b/>
          <w:bCs/>
          <w:sz w:val="24"/>
          <w:szCs w:val="24"/>
          <w:u w:val="single"/>
        </w:rPr>
        <w:t xml:space="preserve">OU </w:t>
      </w:r>
      <w:r w:rsidRPr="00051ABE">
        <w:rPr>
          <w:rFonts w:ascii="Times New Roman" w:hAnsi="Times New Roman" w:cs="Times New Roman"/>
          <w:sz w:val="24"/>
          <w:szCs w:val="24"/>
          <w:u w:val="single"/>
        </w:rPr>
        <w:t>o disposto neste item.</w:t>
      </w:r>
    </w:p>
    <w:p w14:paraId="141B69A3" w14:textId="77777777" w:rsidR="00573B28" w:rsidRPr="00051ABE" w:rsidRDefault="00573B28" w:rsidP="0020334C">
      <w:pPr>
        <w:pStyle w:val="Nivel3"/>
        <w:rPr>
          <w:color w:val="00B050"/>
        </w:rPr>
      </w:pPr>
      <w:r w:rsidRPr="00051ABE">
        <w:t>Será indicada a retenção ou glosa no pagamento, proporcional à irregularidade verificada, sem prejuízo das sanções cabíveis, caso se constate que a Contratada:</w:t>
      </w:r>
    </w:p>
    <w:p w14:paraId="7AB03B59" w14:textId="77777777" w:rsidR="00573B28" w:rsidRPr="00051ABE" w:rsidRDefault="3E4F9A9A" w:rsidP="0020334C">
      <w:pPr>
        <w:pStyle w:val="Nivel4"/>
      </w:pPr>
      <w:r w:rsidRPr="00051ABE">
        <w:t>não produzir os resultados acordados,</w:t>
      </w:r>
    </w:p>
    <w:p w14:paraId="55E1BAD2" w14:textId="77777777" w:rsidR="00573B28" w:rsidRPr="00051ABE" w:rsidRDefault="3E4F9A9A" w:rsidP="0020334C">
      <w:pPr>
        <w:pStyle w:val="Nivel4"/>
      </w:pPr>
      <w:r w:rsidRPr="00051ABE">
        <w:t>deixar de executar, ou não executar com a qualidade mínima exigida as atividades contratadas; ou</w:t>
      </w:r>
    </w:p>
    <w:p w14:paraId="4FC8DCEF" w14:textId="77777777" w:rsidR="00573B28" w:rsidRPr="00051ABE" w:rsidRDefault="3E4F9A9A" w:rsidP="0020334C">
      <w:pPr>
        <w:pStyle w:val="Nivel4"/>
      </w:pPr>
      <w:r w:rsidRPr="00051ABE">
        <w:t>deixar de utilizar materiais e recursos humanos exigidos para a execução do serviço, ou utilizá-los com qualidade ou quantidade inferior à demandada.</w:t>
      </w:r>
    </w:p>
    <w:p w14:paraId="67D0A413" w14:textId="77777777" w:rsidR="00573B28" w:rsidRPr="00051ABE" w:rsidRDefault="00573B28" w:rsidP="0006186C">
      <w:pPr>
        <w:pStyle w:val="Nvel2-Red"/>
        <w:spacing w:line="240" w:lineRule="auto"/>
        <w:rPr>
          <w:rFonts w:ascii="Times New Roman" w:hAnsi="Times New Roman" w:cs="Times New Roman"/>
          <w:color w:val="auto"/>
          <w:sz w:val="24"/>
          <w:szCs w:val="24"/>
        </w:rPr>
      </w:pPr>
      <w:commentRangeStart w:id="24"/>
      <w:r w:rsidRPr="00051ABE">
        <w:rPr>
          <w:rFonts w:ascii="Times New Roman" w:hAnsi="Times New Roman" w:cs="Times New Roman"/>
          <w:sz w:val="24"/>
          <w:szCs w:val="24"/>
        </w:rPr>
        <w:t>A utilização do IMR não impede a aplicação concomitante de outros mecanismos para a avaliação da prestação dos serviços</w:t>
      </w:r>
      <w:r w:rsidRPr="00051ABE">
        <w:rPr>
          <w:rFonts w:ascii="Times New Roman" w:hAnsi="Times New Roman" w:cs="Times New Roman"/>
          <w:color w:val="auto"/>
          <w:sz w:val="24"/>
          <w:szCs w:val="24"/>
        </w:rPr>
        <w:t>.</w:t>
      </w:r>
      <w:commentRangeEnd w:id="24"/>
      <w:r w:rsidRPr="00051ABE">
        <w:rPr>
          <w:rFonts w:ascii="Times New Roman" w:hAnsi="Times New Roman" w:cs="Times New Roman"/>
          <w:sz w:val="24"/>
          <w:szCs w:val="24"/>
        </w:rPr>
        <w:commentReference w:id="24"/>
      </w:r>
    </w:p>
    <w:p w14:paraId="0AF44C8A" w14:textId="77777777" w:rsidR="00573B28" w:rsidRPr="00051ABE" w:rsidRDefault="00573B28" w:rsidP="0006186C">
      <w:pPr>
        <w:pStyle w:val="Nvel2-Red"/>
        <w:spacing w:line="240" w:lineRule="auto"/>
        <w:rPr>
          <w:rFonts w:ascii="Times New Roman" w:hAnsi="Times New Roman" w:cs="Times New Roman"/>
          <w:sz w:val="24"/>
          <w:szCs w:val="24"/>
        </w:rPr>
      </w:pPr>
      <w:commentRangeStart w:id="25"/>
      <w:r w:rsidRPr="00051ABE">
        <w:rPr>
          <w:rFonts w:ascii="Times New Roman" w:hAnsi="Times New Roman" w:cs="Times New Roman"/>
          <w:sz w:val="24"/>
          <w:szCs w:val="24"/>
        </w:rPr>
        <w:t>A aferição da execução contratual para fins de pagamento considerará os seguintes critérios:</w:t>
      </w:r>
    </w:p>
    <w:p w14:paraId="592910A4" w14:textId="77777777" w:rsidR="00573B28" w:rsidRPr="00051ABE" w:rsidRDefault="00573B28" w:rsidP="0020334C">
      <w:pPr>
        <w:pStyle w:val="Nvel3-R"/>
      </w:pPr>
      <w:r w:rsidRPr="00051ABE">
        <w:t>[.......];</w:t>
      </w:r>
    </w:p>
    <w:p w14:paraId="17703A7F" w14:textId="77777777" w:rsidR="00573B28" w:rsidRPr="00051ABE" w:rsidRDefault="00573B28" w:rsidP="0020334C">
      <w:pPr>
        <w:pStyle w:val="Nvel3-R"/>
      </w:pPr>
      <w:r w:rsidRPr="00051ABE">
        <w:t>[.......];</w:t>
      </w:r>
    </w:p>
    <w:p w14:paraId="4780E896" w14:textId="77777777" w:rsidR="00573B28" w:rsidRDefault="00573B28" w:rsidP="0020334C">
      <w:pPr>
        <w:pStyle w:val="Nvel3-R"/>
      </w:pPr>
      <w:r w:rsidRPr="00051ABE">
        <w:t>[.......].</w:t>
      </w:r>
      <w:commentRangeEnd w:id="25"/>
      <w:r w:rsidRPr="00051ABE">
        <w:commentReference w:id="25"/>
      </w:r>
    </w:p>
    <w:p w14:paraId="15192549" w14:textId="77777777" w:rsidR="0006186C" w:rsidRPr="00051ABE" w:rsidRDefault="0006186C" w:rsidP="0020334C">
      <w:pPr>
        <w:pStyle w:val="Nvel3-R"/>
        <w:numPr>
          <w:ilvl w:val="0"/>
          <w:numId w:val="0"/>
        </w:numPr>
        <w:ind w:left="284"/>
      </w:pPr>
    </w:p>
    <w:p w14:paraId="5235E42E" w14:textId="77777777" w:rsidR="00573B28" w:rsidRPr="00051ABE" w:rsidRDefault="00573B28" w:rsidP="0006186C">
      <w:pPr>
        <w:pStyle w:val="Nvel01-SemNumerao"/>
        <w:spacing w:before="120"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Do recebimento</w:t>
      </w:r>
    </w:p>
    <w:p w14:paraId="147499A1" w14:textId="39E3BA07" w:rsidR="004F5A39" w:rsidRPr="00051ABE" w:rsidRDefault="3E4F9A9A" w:rsidP="0006186C">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 xml:space="preserve">Os serviços serão recebidos provisoriamente, no prazo de </w:t>
      </w:r>
      <w:proofErr w:type="gramStart"/>
      <w:r w:rsidR="4CCEE998" w:rsidRPr="00051ABE">
        <w:rPr>
          <w:rFonts w:ascii="Times New Roman" w:hAnsi="Times New Roman" w:cs="Times New Roman"/>
          <w:color w:val="FF0000"/>
          <w:sz w:val="24"/>
          <w:szCs w:val="24"/>
          <w:lang w:eastAsia="en-US"/>
        </w:rPr>
        <w:t>XXX</w:t>
      </w:r>
      <w:r w:rsidRPr="00051ABE">
        <w:rPr>
          <w:rFonts w:ascii="Times New Roman" w:hAnsi="Times New Roman" w:cs="Times New Roman"/>
          <w:sz w:val="24"/>
          <w:szCs w:val="24"/>
          <w:lang w:eastAsia="en-US"/>
        </w:rPr>
        <w:t>.(</w:t>
      </w:r>
      <w:proofErr w:type="gramEnd"/>
      <w:r w:rsidR="4CCEE998" w:rsidRPr="00051ABE">
        <w:rPr>
          <w:rFonts w:ascii="Times New Roman" w:hAnsi="Times New Roman" w:cs="Times New Roman"/>
          <w:color w:val="FF0000"/>
          <w:sz w:val="24"/>
          <w:szCs w:val="24"/>
          <w:lang w:eastAsia="en-US"/>
        </w:rPr>
        <w:t>XXX</w:t>
      </w:r>
      <w:r w:rsidRPr="00051ABE">
        <w:rPr>
          <w:rFonts w:ascii="Times New Roman" w:hAnsi="Times New Roman" w:cs="Times New Roman"/>
          <w:sz w:val="24"/>
          <w:szCs w:val="24"/>
          <w:lang w:eastAsia="en-US"/>
        </w:rPr>
        <w:t>) dias, pelo</w:t>
      </w:r>
      <w:r w:rsidR="0006186C">
        <w:rPr>
          <w:rFonts w:ascii="Times New Roman" w:hAnsi="Times New Roman" w:cs="Times New Roman"/>
          <w:sz w:val="24"/>
          <w:szCs w:val="24"/>
          <w:lang w:eastAsia="en-US"/>
        </w:rPr>
        <w:t xml:space="preserve"> fiscal, </w:t>
      </w:r>
      <w:r w:rsidRPr="00051ABE">
        <w:rPr>
          <w:rFonts w:ascii="Times New Roman" w:hAnsi="Times New Roman" w:cs="Times New Roman"/>
          <w:sz w:val="24"/>
          <w:szCs w:val="24"/>
          <w:lang w:eastAsia="en-US"/>
        </w:rPr>
        <w:t>mediante termos detalhados, quando verificado o cumprimento das exigências</w:t>
      </w:r>
      <w:r w:rsidR="0006186C">
        <w:rPr>
          <w:rFonts w:ascii="Times New Roman" w:hAnsi="Times New Roman" w:cs="Times New Roman"/>
          <w:sz w:val="24"/>
          <w:szCs w:val="24"/>
          <w:lang w:eastAsia="en-US"/>
        </w:rPr>
        <w:t>.</w:t>
      </w:r>
      <w:r w:rsidR="0006186C" w:rsidRPr="00051ABE">
        <w:rPr>
          <w:rFonts w:ascii="Times New Roman" w:hAnsi="Times New Roman" w:cs="Times New Roman"/>
          <w:sz w:val="24"/>
          <w:szCs w:val="24"/>
          <w:lang w:eastAsia="en-US"/>
        </w:rPr>
        <w:t xml:space="preserve"> </w:t>
      </w:r>
    </w:p>
    <w:p w14:paraId="4E5AB609" w14:textId="77777777" w:rsidR="004F5A39" w:rsidRDefault="00573B28" w:rsidP="0006186C">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14:paraId="4792BA9A" w14:textId="77777777" w:rsidR="0006186C" w:rsidRPr="0006186C" w:rsidRDefault="0006186C" w:rsidP="0006186C">
      <w:pPr>
        <w:pStyle w:val="Nivel2"/>
        <w:spacing w:line="240" w:lineRule="auto"/>
        <w:rPr>
          <w:rFonts w:ascii="Times New Roman" w:hAnsi="Times New Roman" w:cs="Times New Roman"/>
          <w:sz w:val="24"/>
          <w:szCs w:val="24"/>
          <w:lang w:eastAsia="en-US"/>
        </w:rPr>
      </w:pPr>
      <w:r w:rsidRPr="0006186C">
        <w:rPr>
          <w:rFonts w:ascii="Times New Roman" w:hAnsi="Times New Roman" w:cs="Times New Roman"/>
          <w:sz w:val="24"/>
          <w:szCs w:val="24"/>
          <w:lang w:eastAsia="en-US"/>
        </w:rPr>
        <w:t>Será considerado como ocorrido o recebimento provisório com a entrega do termo detalhado ou, em havendo mais de um a ser feito, com a entrega do último;</w:t>
      </w:r>
    </w:p>
    <w:p w14:paraId="630D7A76" w14:textId="77777777" w:rsidR="0006186C" w:rsidRPr="0006186C" w:rsidRDefault="0006186C" w:rsidP="0006186C">
      <w:pPr>
        <w:pStyle w:val="Nivel2"/>
        <w:spacing w:line="240" w:lineRule="auto"/>
        <w:rPr>
          <w:rFonts w:ascii="Times New Roman" w:hAnsi="Times New Roman" w:cs="Times New Roman"/>
          <w:sz w:val="24"/>
          <w:szCs w:val="24"/>
          <w:lang w:eastAsia="en-US"/>
        </w:rPr>
      </w:pPr>
      <w:r w:rsidRPr="0006186C">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171FFCE0" w14:textId="77777777" w:rsidR="0006186C" w:rsidRPr="0006186C" w:rsidRDefault="0006186C" w:rsidP="0006186C">
      <w:pPr>
        <w:pStyle w:val="Nivel2"/>
        <w:spacing w:line="240" w:lineRule="auto"/>
        <w:rPr>
          <w:rFonts w:ascii="Times New Roman" w:hAnsi="Times New Roman" w:cs="Times New Roman"/>
          <w:sz w:val="24"/>
          <w:szCs w:val="24"/>
          <w:lang w:eastAsia="en-US"/>
        </w:rPr>
      </w:pPr>
      <w:r w:rsidRPr="0006186C">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(Art. 119 c/c art. 140 da Lei nº 14133, de 2021)</w:t>
      </w:r>
    </w:p>
    <w:p w14:paraId="206937DF" w14:textId="7F979BD5" w:rsidR="0006186C" w:rsidRPr="0006186C" w:rsidRDefault="0006186C" w:rsidP="0006186C">
      <w:pPr>
        <w:pStyle w:val="Nivel2"/>
        <w:spacing w:line="240" w:lineRule="auto"/>
        <w:rPr>
          <w:rFonts w:ascii="Times New Roman" w:hAnsi="Times New Roman" w:cs="Times New Roman"/>
          <w:sz w:val="24"/>
          <w:szCs w:val="24"/>
          <w:lang w:eastAsia="en-US"/>
        </w:rPr>
      </w:pPr>
      <w:r w:rsidRPr="0006186C">
        <w:rPr>
          <w:rFonts w:ascii="Times New Roman" w:hAnsi="Times New Roman" w:cs="Times New Roman"/>
          <w:sz w:val="24"/>
          <w:szCs w:val="24"/>
          <w:lang w:eastAsia="en-US"/>
        </w:rPr>
        <w:t>Os serviços poderão ser rejeitados, no todo ou em parte, quando em desacordo com as especificações constantes neste Termo de Referência e na proposta, sem prejuízo da aplicação das penalidades.</w:t>
      </w:r>
    </w:p>
    <w:p w14:paraId="2D86A0A5" w14:textId="77777777" w:rsidR="00573B28" w:rsidRPr="00051ABE" w:rsidRDefault="00573B28" w:rsidP="00954E1F">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 xml:space="preserve">Os serviços serão recebidos definitivamente no prazo de </w:t>
      </w:r>
      <w:r w:rsidRPr="0020334C">
        <w:rPr>
          <w:rFonts w:ascii="Times New Roman" w:hAnsi="Times New Roman" w:cs="Times New Roman"/>
          <w:color w:val="FF0000"/>
          <w:sz w:val="24"/>
          <w:szCs w:val="24"/>
          <w:lang w:eastAsia="en-US"/>
        </w:rPr>
        <w:t>......(</w:t>
      </w:r>
      <w:proofErr w:type="gramStart"/>
      <w:r w:rsidRPr="0020334C">
        <w:rPr>
          <w:rFonts w:ascii="Times New Roman" w:hAnsi="Times New Roman" w:cs="Times New Roman"/>
          <w:color w:val="FF0000"/>
          <w:sz w:val="24"/>
          <w:szCs w:val="24"/>
          <w:lang w:eastAsia="en-US"/>
        </w:rPr>
        <w:t>.....</w:t>
      </w:r>
      <w:proofErr w:type="gramEnd"/>
      <w:r w:rsidRPr="0020334C">
        <w:rPr>
          <w:rFonts w:ascii="Times New Roman" w:hAnsi="Times New Roman" w:cs="Times New Roman"/>
          <w:color w:val="FF0000"/>
          <w:sz w:val="24"/>
          <w:szCs w:val="24"/>
          <w:lang w:eastAsia="en-US"/>
        </w:rPr>
        <w:t>) dias</w:t>
      </w:r>
      <w:r w:rsidRPr="00051ABE">
        <w:rPr>
          <w:rFonts w:ascii="Times New Roman" w:hAnsi="Times New Roman" w:cs="Times New Roman"/>
          <w:sz w:val="24"/>
          <w:szCs w:val="24"/>
          <w:lang w:eastAsia="en-US"/>
        </w:rPr>
        <w:t>, contados do recebimento provisório, por servidor ou comissão designada pela autoridade competente, após a verificação da qualidade e quantidade do serviço e consequente aceitação mediante termo detalhado, obedecendo os seguintes procedimentos:</w:t>
      </w:r>
    </w:p>
    <w:p w14:paraId="2D18C931" w14:textId="77777777" w:rsidR="00573B28" w:rsidRPr="00051ABE" w:rsidRDefault="00573B28" w:rsidP="0020334C">
      <w:pPr>
        <w:pStyle w:val="Nivel3"/>
        <w:rPr>
          <w:bCs/>
        </w:rPr>
      </w:pPr>
      <w:r w:rsidRPr="00051ABE">
        <w:lastRenderedPageBreak/>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2AEB3657" w14:textId="28A5F492" w:rsidR="00573B28" w:rsidRPr="0020334C" w:rsidRDefault="6A45F091" w:rsidP="0020334C">
      <w:pPr>
        <w:pStyle w:val="Nivel3"/>
      </w:pPr>
      <w:r w:rsidRPr="0020334C">
        <w:t xml:space="preserve">Emitir Termo </w:t>
      </w:r>
      <w:r w:rsidR="005C7BEC" w:rsidRPr="0020334C">
        <w:t xml:space="preserve">Detalhado </w:t>
      </w:r>
      <w:r w:rsidRPr="0020334C">
        <w:t>para efeito de recebimento definitivo dos serviços prestados, com base nos relatórios e documentações apresentadas; e</w:t>
      </w:r>
    </w:p>
    <w:p w14:paraId="1C9083C5" w14:textId="77777777" w:rsidR="00573B28" w:rsidRPr="00051ABE" w:rsidRDefault="00573B28" w:rsidP="0020334C">
      <w:pPr>
        <w:pStyle w:val="Nivel3"/>
        <w:rPr>
          <w:bCs/>
        </w:rPr>
      </w:pPr>
      <w:r w:rsidRPr="00051ABE">
        <w:t>Comunicar a empresa para que emita a Nota Fiscal ou Fatura, com o valor exato dimensionado pela fiscalização.</w:t>
      </w:r>
    </w:p>
    <w:p w14:paraId="6F1BE013" w14:textId="4987CA1E" w:rsidR="00573B28" w:rsidRPr="00051ABE" w:rsidRDefault="00573B28" w:rsidP="0020334C">
      <w:pPr>
        <w:pStyle w:val="Nivel3"/>
        <w:rPr>
          <w:bCs/>
        </w:rPr>
      </w:pPr>
      <w:r w:rsidRPr="00051ABE">
        <w:t xml:space="preserve">Enviar a documentação pertinente ao setor </w:t>
      </w:r>
      <w:r w:rsidR="0020334C">
        <w:t xml:space="preserve">responsável </w:t>
      </w:r>
      <w:r w:rsidRPr="00051ABE">
        <w:t>para a formalização dos procedimentos de liquidação e pagamento, no valor dimensionado pela fiscalização e gestão.</w:t>
      </w:r>
    </w:p>
    <w:p w14:paraId="1B702BFF" w14:textId="39215DCB" w:rsidR="00573B28" w:rsidRPr="00051ABE" w:rsidRDefault="3E4F9A9A" w:rsidP="00954E1F">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19" w:anchor="art143">
        <w:r w:rsidRPr="00051ABE">
          <w:rPr>
            <w:rStyle w:val="Hyperlink"/>
            <w:rFonts w:ascii="Times New Roman" w:hAnsi="Times New Roman" w:cs="Times New Roman"/>
            <w:sz w:val="24"/>
            <w:szCs w:val="24"/>
            <w:lang w:eastAsia="en-US"/>
          </w:rPr>
          <w:t>art. 143 da Lei nº 14.133, de 2021</w:t>
        </w:r>
      </w:hyperlink>
      <w:r w:rsidRPr="00051ABE">
        <w:rPr>
          <w:rFonts w:ascii="Times New Roman" w:hAnsi="Times New Roman" w:cs="Times New Roman"/>
          <w:sz w:val="24"/>
          <w:szCs w:val="24"/>
          <w:lang w:eastAsia="en-US"/>
        </w:rPr>
        <w:t xml:space="preserve">, comunicando-se à empresa para emissão de Nota Fiscal no que </w:t>
      </w:r>
      <w:proofErr w:type="spellStart"/>
      <w:r w:rsidRPr="00051ABE">
        <w:rPr>
          <w:rFonts w:ascii="Times New Roman" w:hAnsi="Times New Roman" w:cs="Times New Roman"/>
          <w:sz w:val="24"/>
          <w:szCs w:val="24"/>
          <w:lang w:eastAsia="en-US"/>
        </w:rPr>
        <w:t>pertine</w:t>
      </w:r>
      <w:proofErr w:type="spellEnd"/>
      <w:r w:rsidRPr="00051ABE">
        <w:rPr>
          <w:rFonts w:ascii="Times New Roman" w:hAnsi="Times New Roman" w:cs="Times New Roman"/>
          <w:sz w:val="24"/>
          <w:szCs w:val="24"/>
          <w:lang w:eastAsia="en-US"/>
        </w:rPr>
        <w:t xml:space="preserve"> à parcela incontroversa da execução do objeto, para efeito de liquidação e pagamento.</w:t>
      </w:r>
    </w:p>
    <w:p w14:paraId="3954891D" w14:textId="77777777" w:rsidR="00573B28" w:rsidRPr="00051ABE" w:rsidRDefault="00573B28" w:rsidP="00954E1F">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14:paraId="7B1CEF34" w14:textId="77777777" w:rsidR="00573B28" w:rsidRDefault="00573B28" w:rsidP="00954E1F">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O recebimento provisório ou definitivo não excluirá a responsabilidade civil pela solidez e pela segurança do serviço nem a responsabilidade ético-profissional pela perfeita execução do contrato.</w:t>
      </w:r>
    </w:p>
    <w:p w14:paraId="779119BE" w14:textId="77777777" w:rsidR="0020334C" w:rsidRPr="00051ABE" w:rsidRDefault="0020334C" w:rsidP="0020334C">
      <w:pPr>
        <w:pStyle w:val="Nivel2"/>
        <w:numPr>
          <w:ilvl w:val="0"/>
          <w:numId w:val="0"/>
        </w:numPr>
        <w:spacing w:line="240" w:lineRule="auto"/>
        <w:rPr>
          <w:rFonts w:ascii="Times New Roman" w:hAnsi="Times New Roman" w:cs="Times New Roman"/>
          <w:sz w:val="24"/>
          <w:szCs w:val="24"/>
          <w:lang w:eastAsia="en-US"/>
        </w:rPr>
      </w:pPr>
    </w:p>
    <w:p w14:paraId="20119DA5" w14:textId="77777777"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Liquidação</w:t>
      </w:r>
    </w:p>
    <w:p w14:paraId="1E0D642C" w14:textId="36BDF993" w:rsidR="00573B28" w:rsidRPr="00051ABE" w:rsidRDefault="6A45F09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Recebida a Nota Fiscal ou documento de cobrança equivalente, correrá o prazo de dez dias úteis para fins de liquidação, na forma desta seção, prorrogáveis por igual período, nos termos do </w:t>
      </w:r>
      <w:hyperlink r:id="rId20">
        <w:r w:rsidRPr="00051ABE">
          <w:rPr>
            <w:rStyle w:val="Hyperlink"/>
            <w:rFonts w:ascii="Times New Roman" w:hAnsi="Times New Roman" w:cs="Times New Roman"/>
            <w:sz w:val="24"/>
            <w:szCs w:val="24"/>
          </w:rPr>
          <w:t>art. 7º, §2º da Instrução Normativa SEGES/ME nº 77/2022.</w:t>
        </w:r>
      </w:hyperlink>
    </w:p>
    <w:p w14:paraId="5BA5CA3E" w14:textId="6636667A"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w:t>
      </w:r>
      <w:hyperlink r:id="rId21" w:anchor="art75">
        <w:r w:rsidRPr="00051ABE">
          <w:rPr>
            <w:rStyle w:val="Hyperlink"/>
            <w:rFonts w:ascii="Times New Roman" w:hAnsi="Times New Roman" w:cs="Times New Roman"/>
            <w:sz w:val="24"/>
            <w:szCs w:val="24"/>
          </w:rPr>
          <w:t>inciso II do art. 75 da Lei nº 14.133, de 2021</w:t>
        </w:r>
      </w:hyperlink>
    </w:p>
    <w:p w14:paraId="024C9ABF"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4FD94C48" w14:textId="1BFE5A39" w:rsidR="00573B28" w:rsidRPr="00051ABE" w:rsidRDefault="00674488" w:rsidP="0020334C">
      <w:pPr>
        <w:pStyle w:val="Nivel3"/>
      </w:pPr>
      <w:r w:rsidRPr="00051ABE">
        <w:t xml:space="preserve"> </w:t>
      </w:r>
      <w:r w:rsidR="00573B28" w:rsidRPr="00051ABE">
        <w:t>o prazo de validade;</w:t>
      </w:r>
    </w:p>
    <w:p w14:paraId="5E503728" w14:textId="07D7FC7A" w:rsidR="00573B28" w:rsidRPr="00051ABE" w:rsidRDefault="00674488" w:rsidP="0020334C">
      <w:pPr>
        <w:pStyle w:val="Nivel3"/>
      </w:pPr>
      <w:r w:rsidRPr="00051ABE">
        <w:t xml:space="preserve"> </w:t>
      </w:r>
      <w:r w:rsidR="00573B28" w:rsidRPr="00051ABE">
        <w:t>a data da emissão;</w:t>
      </w:r>
    </w:p>
    <w:p w14:paraId="4660D192" w14:textId="03FD778A" w:rsidR="00573B28" w:rsidRPr="00051ABE" w:rsidRDefault="00674488" w:rsidP="0020334C">
      <w:pPr>
        <w:pStyle w:val="Nivel3"/>
      </w:pPr>
      <w:r w:rsidRPr="00051ABE">
        <w:t xml:space="preserve"> </w:t>
      </w:r>
      <w:r w:rsidR="00573B28" w:rsidRPr="00051ABE">
        <w:t>os dados do contrato e do órgão contratante;</w:t>
      </w:r>
    </w:p>
    <w:p w14:paraId="0B54B84A" w14:textId="2DDFAAD9" w:rsidR="00573B28" w:rsidRPr="00051ABE" w:rsidRDefault="00674488" w:rsidP="0020334C">
      <w:pPr>
        <w:pStyle w:val="Nivel3"/>
      </w:pPr>
      <w:r w:rsidRPr="00051ABE">
        <w:t xml:space="preserve"> </w:t>
      </w:r>
      <w:r w:rsidR="00573B28" w:rsidRPr="00051ABE">
        <w:t>o período respectivo de execução do contrato;</w:t>
      </w:r>
    </w:p>
    <w:p w14:paraId="4C2EB816" w14:textId="78AA05C5" w:rsidR="00573B28" w:rsidRPr="00051ABE" w:rsidRDefault="00674488" w:rsidP="0020334C">
      <w:pPr>
        <w:pStyle w:val="Nivel3"/>
      </w:pPr>
      <w:r w:rsidRPr="00051ABE">
        <w:t xml:space="preserve"> </w:t>
      </w:r>
      <w:r w:rsidR="00573B28" w:rsidRPr="00051ABE">
        <w:t>o valor a pagar; e</w:t>
      </w:r>
    </w:p>
    <w:p w14:paraId="37590F97" w14:textId="284A7058" w:rsidR="00573B28" w:rsidRPr="00051ABE" w:rsidRDefault="00674488" w:rsidP="0020334C">
      <w:pPr>
        <w:pStyle w:val="Nivel3"/>
      </w:pPr>
      <w:r w:rsidRPr="00051ABE">
        <w:t xml:space="preserve"> </w:t>
      </w:r>
      <w:r w:rsidR="00573B28" w:rsidRPr="00051ABE">
        <w:t>eventual destaque do valor de retenções tributárias cabíveis.</w:t>
      </w:r>
    </w:p>
    <w:p w14:paraId="6EB7E766"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20352234" w14:textId="7BD900D1"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A Nota Fiscal ou Fatura deverá ser obrigatoriamente acompanhada da comprovação da regularidade fiscal, constatada por meio de consulta </w:t>
      </w:r>
      <w:r w:rsidRPr="00051ABE">
        <w:rPr>
          <w:rFonts w:ascii="Times New Roman" w:hAnsi="Times New Roman" w:cs="Times New Roman"/>
          <w:i/>
          <w:iCs/>
          <w:sz w:val="24"/>
          <w:szCs w:val="24"/>
        </w:rPr>
        <w:t>on-line</w:t>
      </w:r>
      <w:r w:rsidRPr="00051ABE">
        <w:rPr>
          <w:rFonts w:ascii="Times New Roman" w:hAnsi="Times New Roman" w:cs="Times New Roman"/>
          <w:sz w:val="24"/>
          <w:szCs w:val="24"/>
        </w:rPr>
        <w:t xml:space="preserve"> ao SICAF ou, na impossibilidade de acesso ao referido Sistema, mediante consulta aos sítios eletrônicos oficiais ou à documentação mencionada no art. 68 da Lei nº 14.133/2021.</w:t>
      </w:r>
    </w:p>
    <w:p w14:paraId="316DD8F8" w14:textId="259AE235" w:rsidR="00573B28" w:rsidRPr="00051ABE" w:rsidRDefault="6A45F09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lastRenderedPageBreak/>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r w:rsidR="58E9967E" w:rsidRPr="00051ABE">
        <w:rPr>
          <w:rFonts w:ascii="Times New Roman" w:hAnsi="Times New Roman" w:cs="Times New Roman"/>
          <w:color w:val="000000" w:themeColor="text1"/>
          <w:sz w:val="24"/>
          <w:szCs w:val="24"/>
        </w:rPr>
        <w:t xml:space="preserve"> (INSTRUÇÃO NORMATIVA Nº 3, DE 26 DE ABRIL DE 2018</w:t>
      </w:r>
      <w:bookmarkStart w:id="26" w:name="_Int_T4XqlsQA"/>
      <w:r w:rsidR="58E9967E" w:rsidRPr="00051ABE">
        <w:rPr>
          <w:rFonts w:ascii="Times New Roman" w:hAnsi="Times New Roman" w:cs="Times New Roman"/>
          <w:sz w:val="24"/>
          <w:szCs w:val="24"/>
        </w:rPr>
        <w:t>)</w:t>
      </w:r>
      <w:r w:rsidRPr="00051ABE">
        <w:rPr>
          <w:rFonts w:ascii="Times New Roman" w:hAnsi="Times New Roman" w:cs="Times New Roman"/>
          <w:sz w:val="24"/>
          <w:szCs w:val="24"/>
        </w:rPr>
        <w:t>.</w:t>
      </w:r>
      <w:bookmarkEnd w:id="26"/>
    </w:p>
    <w:p w14:paraId="5E295EC9"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42623CD"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638670E" w14:textId="77777777"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6CD68064" w14:textId="77777777" w:rsidR="00573B28"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Havendo a efetiva execução do objeto, os pagamentos serão realizados normalmente, até que se decida pela rescisão do contrato, caso o contratado não regularize sua situação junto ao SICAF. </w:t>
      </w:r>
    </w:p>
    <w:p w14:paraId="470AE012" w14:textId="77777777" w:rsidR="002C68F2" w:rsidRPr="00051ABE" w:rsidRDefault="002C68F2" w:rsidP="002C68F2">
      <w:pPr>
        <w:pStyle w:val="Nivel2"/>
        <w:numPr>
          <w:ilvl w:val="0"/>
          <w:numId w:val="0"/>
        </w:numPr>
        <w:spacing w:line="240" w:lineRule="auto"/>
        <w:rPr>
          <w:rFonts w:ascii="Times New Roman" w:hAnsi="Times New Roman" w:cs="Times New Roman"/>
          <w:sz w:val="24"/>
          <w:szCs w:val="24"/>
        </w:rPr>
      </w:pPr>
    </w:p>
    <w:p w14:paraId="7C08635A" w14:textId="31F6FDAD" w:rsidR="00573B28" w:rsidRPr="00051ABE" w:rsidRDefault="3E4F9A9A"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Prazo de pagamento</w:t>
      </w:r>
    </w:p>
    <w:p w14:paraId="68D86A9B" w14:textId="11F4B419" w:rsidR="00573B28" w:rsidRPr="00051ABE" w:rsidRDefault="00573B28"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O pagamento será efetuado no prazo máximo de até </w:t>
      </w:r>
      <w:r w:rsidR="002C68F2">
        <w:rPr>
          <w:rFonts w:ascii="Times New Roman" w:hAnsi="Times New Roman" w:cs="Times New Roman"/>
          <w:sz w:val="24"/>
          <w:szCs w:val="24"/>
        </w:rPr>
        <w:t>30</w:t>
      </w:r>
      <w:r w:rsidRPr="00051ABE">
        <w:rPr>
          <w:rFonts w:ascii="Times New Roman" w:hAnsi="Times New Roman" w:cs="Times New Roman"/>
          <w:sz w:val="24"/>
          <w:szCs w:val="24"/>
        </w:rPr>
        <w:t xml:space="preserve"> dias úteis, contados da finalização da liquidação da despesa, conforme seção anterior, nos termos da Instrução Normativa SEGES/ME nº 77, de 2022.</w:t>
      </w:r>
    </w:p>
    <w:p w14:paraId="517EA056" w14:textId="77777777" w:rsidR="00573B28" w:rsidRDefault="00573B28" w:rsidP="00954E1F">
      <w:pPr>
        <w:pStyle w:val="Nivel2"/>
        <w:spacing w:line="240" w:lineRule="auto"/>
        <w:rPr>
          <w:rFonts w:ascii="Times New Roman" w:hAnsi="Times New Roman" w:cs="Times New Roman"/>
          <w:sz w:val="24"/>
          <w:szCs w:val="24"/>
        </w:rPr>
      </w:pPr>
      <w:commentRangeStart w:id="27"/>
      <w:r w:rsidRPr="00051ABE">
        <w:rPr>
          <w:rFonts w:ascii="Times New Roman" w:hAnsi="Times New Roman" w:cs="Times New Roman"/>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051ABE">
        <w:rPr>
          <w:rFonts w:ascii="Times New Roman" w:hAnsi="Times New Roman" w:cs="Times New Roman"/>
          <w:i/>
          <w:iCs/>
          <w:color w:val="FF0000"/>
          <w:sz w:val="24"/>
          <w:szCs w:val="24"/>
        </w:rPr>
        <w:t>XXXX</w:t>
      </w:r>
      <w:r w:rsidRPr="00051ABE">
        <w:rPr>
          <w:rFonts w:ascii="Times New Roman" w:hAnsi="Times New Roman" w:cs="Times New Roman"/>
          <w:sz w:val="24"/>
          <w:szCs w:val="24"/>
        </w:rPr>
        <w:t xml:space="preserve"> de correção monetária.</w:t>
      </w:r>
      <w:commentRangeEnd w:id="27"/>
      <w:r w:rsidRPr="00051ABE">
        <w:rPr>
          <w:rFonts w:ascii="Times New Roman" w:hAnsi="Times New Roman" w:cs="Times New Roman"/>
          <w:sz w:val="24"/>
          <w:szCs w:val="24"/>
        </w:rPr>
        <w:commentReference w:id="27"/>
      </w:r>
    </w:p>
    <w:p w14:paraId="6DE4EAF0" w14:textId="77777777" w:rsidR="002C68F2" w:rsidRPr="00051ABE" w:rsidRDefault="002C68F2" w:rsidP="002C68F2">
      <w:pPr>
        <w:pStyle w:val="Nivel2"/>
        <w:numPr>
          <w:ilvl w:val="0"/>
          <w:numId w:val="0"/>
        </w:numPr>
        <w:spacing w:line="240" w:lineRule="auto"/>
        <w:rPr>
          <w:rFonts w:ascii="Times New Roman" w:hAnsi="Times New Roman" w:cs="Times New Roman"/>
          <w:sz w:val="24"/>
          <w:szCs w:val="24"/>
        </w:rPr>
      </w:pPr>
    </w:p>
    <w:p w14:paraId="20D4BFD8" w14:textId="77777777"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Forma de pagamento</w:t>
      </w:r>
    </w:p>
    <w:p w14:paraId="1CD075EC" w14:textId="77777777"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O pagamento será realizado através de ordem bancária, para crédito em banco, agência e conta corrente indicados pelo contratado.</w:t>
      </w:r>
    </w:p>
    <w:p w14:paraId="0448AEE9" w14:textId="77777777" w:rsidR="00573B28" w:rsidRPr="00051ABE" w:rsidRDefault="00573B28" w:rsidP="00954E1F">
      <w:pPr>
        <w:pStyle w:val="Nvel2-Red"/>
        <w:spacing w:line="240" w:lineRule="auto"/>
        <w:rPr>
          <w:rFonts w:ascii="Times New Roman" w:hAnsi="Times New Roman" w:cs="Times New Roman"/>
          <w:color w:val="auto"/>
          <w:sz w:val="24"/>
          <w:szCs w:val="24"/>
        </w:rPr>
      </w:pPr>
      <w:r w:rsidRPr="00051ABE">
        <w:rPr>
          <w:rFonts w:ascii="Times New Roman" w:hAnsi="Times New Roman" w:cs="Times New Roman"/>
          <w:sz w:val="24"/>
          <w:szCs w:val="24"/>
        </w:rPr>
        <w:t xml:space="preserve">Será considerada data do pagamento o dia em que constar como emitida a ordem bancária para </w:t>
      </w:r>
      <w:r w:rsidRPr="00051ABE">
        <w:rPr>
          <w:rFonts w:ascii="Times New Roman" w:hAnsi="Times New Roman" w:cs="Times New Roman"/>
          <w:color w:val="auto"/>
          <w:sz w:val="24"/>
          <w:szCs w:val="24"/>
        </w:rPr>
        <w:t>pagamento.</w:t>
      </w:r>
    </w:p>
    <w:p w14:paraId="38E2474D" w14:textId="77777777" w:rsidR="002C5308" w:rsidRPr="00051ABE" w:rsidRDefault="00573B28" w:rsidP="00954E1F">
      <w:pPr>
        <w:pStyle w:val="Nivel2"/>
        <w:spacing w:line="240" w:lineRule="auto"/>
        <w:rPr>
          <w:rFonts w:ascii="Times New Roman" w:hAnsi="Times New Roman" w:cs="Times New Roman"/>
          <w:sz w:val="24"/>
          <w:szCs w:val="24"/>
          <w:lang w:eastAsia="en-US"/>
        </w:rPr>
      </w:pPr>
      <w:commentRangeStart w:id="28"/>
      <w:r w:rsidRPr="00051ABE">
        <w:rPr>
          <w:rFonts w:ascii="Times New Roman" w:hAnsi="Times New Roman" w:cs="Times New Roman"/>
          <w:sz w:val="24"/>
          <w:szCs w:val="24"/>
          <w:lang w:eastAsia="en-US"/>
        </w:rPr>
        <w:t>Quando do pagamento, será efetuada a retenção tributária prevista na legislação aplicável.</w:t>
      </w:r>
      <w:commentRangeEnd w:id="28"/>
      <w:r w:rsidRPr="00051ABE">
        <w:rPr>
          <w:rFonts w:ascii="Times New Roman" w:hAnsi="Times New Roman" w:cs="Times New Roman"/>
          <w:sz w:val="24"/>
          <w:szCs w:val="24"/>
        </w:rPr>
        <w:commentReference w:id="28"/>
      </w:r>
    </w:p>
    <w:p w14:paraId="6663A365" w14:textId="7E6E4A08" w:rsidR="00573B28" w:rsidRPr="00051ABE" w:rsidRDefault="00573B28" w:rsidP="0020334C">
      <w:pPr>
        <w:pStyle w:val="Nivel3"/>
      </w:pPr>
      <w:r w:rsidRPr="00051ABE">
        <w:t>Independentemente do percentual de tributo inserido na planilha, quando houver, serão retidos na fonte, quando da realização do pagamento, os percentuais estabelecidos na legislação vigente.</w:t>
      </w:r>
    </w:p>
    <w:p w14:paraId="1962E6FD" w14:textId="0BC8BFA1" w:rsidR="002C68F2" w:rsidRPr="002C68F2" w:rsidRDefault="00573B28" w:rsidP="002C68F2">
      <w:pPr>
        <w:pStyle w:val="Nivel2"/>
        <w:spacing w:line="240" w:lineRule="auto"/>
        <w:rPr>
          <w:rFonts w:ascii="Times New Roman" w:hAnsi="Times New Roman" w:cs="Times New Roman"/>
          <w:sz w:val="24"/>
          <w:szCs w:val="24"/>
          <w:lang w:eastAsia="en-US"/>
        </w:rPr>
      </w:pPr>
      <w:r w:rsidRPr="00051ABE">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0C3219" w14:textId="4AC8423F" w:rsidR="00573B28" w:rsidRPr="00051ABE" w:rsidRDefault="7C90B181" w:rsidP="00954E1F">
      <w:pPr>
        <w:pStyle w:val="Nivel01"/>
        <w:spacing w:before="120" w:line="240" w:lineRule="auto"/>
        <w:rPr>
          <w:rFonts w:ascii="Times New Roman" w:eastAsia="Calibri" w:hAnsi="Times New Roman" w:cs="Times New Roman"/>
          <w:sz w:val="24"/>
          <w:szCs w:val="24"/>
        </w:rPr>
      </w:pPr>
      <w:r w:rsidRPr="00051ABE">
        <w:rPr>
          <w:rFonts w:ascii="Times New Roman" w:hAnsi="Times New Roman" w:cs="Times New Roman"/>
          <w:sz w:val="24"/>
          <w:szCs w:val="24"/>
        </w:rPr>
        <w:lastRenderedPageBreak/>
        <w:t>FORMA E CRITÉRIOS DE SELEÇÃO DO FORNECEDOR</w:t>
      </w:r>
      <w:r w:rsidR="699FEF2F" w:rsidRPr="00051ABE">
        <w:rPr>
          <w:rFonts w:ascii="Times New Roman" w:hAnsi="Times New Roman" w:cs="Times New Roman"/>
          <w:sz w:val="24"/>
          <w:szCs w:val="24"/>
        </w:rPr>
        <w:t xml:space="preserve"> E REGIME DE EXECUÇÃO</w:t>
      </w:r>
    </w:p>
    <w:p w14:paraId="2BEAE337" w14:textId="77777777" w:rsidR="00573B28" w:rsidRPr="00051ABE" w:rsidRDefault="00573B28" w:rsidP="00954E1F">
      <w:pPr>
        <w:pStyle w:val="Nvel01-SemNumerao"/>
        <w:spacing w:before="120" w:line="240" w:lineRule="auto"/>
        <w:rPr>
          <w:rFonts w:ascii="Times New Roman" w:eastAsiaTheme="minorEastAsia" w:hAnsi="Times New Roman" w:cs="Times New Roman"/>
          <w:sz w:val="24"/>
          <w:szCs w:val="24"/>
        </w:rPr>
      </w:pPr>
      <w:r w:rsidRPr="00051ABE">
        <w:rPr>
          <w:rFonts w:ascii="Times New Roman" w:hAnsi="Times New Roman" w:cs="Times New Roman"/>
          <w:sz w:val="24"/>
          <w:szCs w:val="24"/>
        </w:rPr>
        <w:t>Forma de seleção e critério de julgamento da proposta</w:t>
      </w:r>
    </w:p>
    <w:p w14:paraId="255FDD0C" w14:textId="19D5255F" w:rsidR="2E299CAF" w:rsidRPr="002C68F2" w:rsidRDefault="7C90B181" w:rsidP="00954E1F">
      <w:pPr>
        <w:pStyle w:val="Nivel2"/>
        <w:spacing w:line="240" w:lineRule="auto"/>
        <w:rPr>
          <w:rFonts w:ascii="Times New Roman" w:eastAsia="MS Mincho" w:hAnsi="Times New Roman" w:cs="Times New Roman"/>
          <w:i/>
          <w:iCs/>
          <w:color w:val="000000" w:themeColor="text1"/>
          <w:sz w:val="24"/>
          <w:szCs w:val="24"/>
        </w:rPr>
      </w:pPr>
      <w:r w:rsidRPr="00051ABE">
        <w:rPr>
          <w:rFonts w:ascii="Times New Roman" w:hAnsi="Times New Roman" w:cs="Times New Roman"/>
          <w:sz w:val="24"/>
          <w:szCs w:val="24"/>
        </w:rPr>
        <w:t xml:space="preserve">O fornecedor será selecionado por meio da realização de procedimento de LICITAÇÃO, na modalidade PREGÃO, sob a forma ELETRÔNICA, com adoção do critério de julgamento pelo </w:t>
      </w:r>
      <w:r w:rsidRPr="00051ABE">
        <w:rPr>
          <w:rFonts w:ascii="Times New Roman" w:hAnsi="Times New Roman" w:cs="Times New Roman"/>
          <w:color w:val="FF0000"/>
          <w:sz w:val="24"/>
          <w:szCs w:val="24"/>
        </w:rPr>
        <w:t>[MENOR PREÇO] OU [MAIOR DESCONTO]</w:t>
      </w:r>
    </w:p>
    <w:p w14:paraId="2B2DB664" w14:textId="77777777" w:rsidR="002C68F2" w:rsidRPr="00051ABE" w:rsidRDefault="002C68F2" w:rsidP="002C68F2">
      <w:pPr>
        <w:pStyle w:val="Nivel2"/>
        <w:numPr>
          <w:ilvl w:val="0"/>
          <w:numId w:val="0"/>
        </w:numPr>
        <w:spacing w:line="240" w:lineRule="auto"/>
        <w:rPr>
          <w:rFonts w:ascii="Times New Roman" w:eastAsia="MS Mincho" w:hAnsi="Times New Roman" w:cs="Times New Roman"/>
          <w:i/>
          <w:iCs/>
          <w:color w:val="000000" w:themeColor="text1"/>
          <w:sz w:val="24"/>
          <w:szCs w:val="24"/>
        </w:rPr>
      </w:pPr>
    </w:p>
    <w:p w14:paraId="4C957AC2" w14:textId="27CA12CF" w:rsidR="2E299CAF" w:rsidRPr="00051ABE" w:rsidRDefault="5267C812" w:rsidP="00954E1F">
      <w:pPr>
        <w:pStyle w:val="Nvel01-SemNumerao"/>
        <w:spacing w:before="120" w:line="240" w:lineRule="auto"/>
        <w:rPr>
          <w:rFonts w:ascii="Times New Roman" w:eastAsia="MS Mincho" w:hAnsi="Times New Roman" w:cs="Times New Roman"/>
          <w:color w:val="000000" w:themeColor="text1"/>
          <w:sz w:val="24"/>
          <w:szCs w:val="24"/>
        </w:rPr>
      </w:pPr>
      <w:commentRangeStart w:id="29"/>
      <w:r w:rsidRPr="00051ABE">
        <w:rPr>
          <w:rFonts w:ascii="Times New Roman" w:hAnsi="Times New Roman" w:cs="Times New Roman"/>
          <w:sz w:val="24"/>
          <w:szCs w:val="24"/>
        </w:rPr>
        <w:t>Regime de execução</w:t>
      </w:r>
      <w:commentRangeEnd w:id="29"/>
      <w:r w:rsidRPr="00051ABE">
        <w:rPr>
          <w:rFonts w:ascii="Times New Roman" w:hAnsi="Times New Roman" w:cs="Times New Roman"/>
          <w:sz w:val="24"/>
          <w:szCs w:val="24"/>
        </w:rPr>
        <w:commentReference w:id="29"/>
      </w:r>
    </w:p>
    <w:p w14:paraId="05AC3151" w14:textId="1E9671C3" w:rsidR="2E299CAF" w:rsidRPr="002C68F2" w:rsidRDefault="2E299CAF" w:rsidP="00954E1F">
      <w:pPr>
        <w:pStyle w:val="Nivel2"/>
        <w:spacing w:line="240" w:lineRule="auto"/>
        <w:rPr>
          <w:rFonts w:ascii="Times New Roman" w:eastAsia="MS Mincho" w:hAnsi="Times New Roman" w:cs="Times New Roman"/>
          <w:i/>
          <w:iCs/>
          <w:sz w:val="24"/>
          <w:szCs w:val="24"/>
        </w:rPr>
      </w:pPr>
      <w:r w:rsidRPr="00051ABE">
        <w:rPr>
          <w:rFonts w:ascii="Times New Roman" w:hAnsi="Times New Roman" w:cs="Times New Roman"/>
          <w:sz w:val="24"/>
          <w:szCs w:val="24"/>
        </w:rPr>
        <w:t xml:space="preserve">O regime de execução do contrato será </w:t>
      </w:r>
      <w:r w:rsidRPr="00051ABE">
        <w:rPr>
          <w:rFonts w:ascii="Times New Roman" w:hAnsi="Times New Roman" w:cs="Times New Roman"/>
          <w:color w:val="FF0000"/>
          <w:sz w:val="24"/>
          <w:szCs w:val="24"/>
        </w:rPr>
        <w:t>[....].</w:t>
      </w:r>
    </w:p>
    <w:p w14:paraId="5B6A91A1" w14:textId="77777777" w:rsidR="002C68F2" w:rsidRPr="00051ABE" w:rsidRDefault="002C68F2" w:rsidP="002C68F2">
      <w:pPr>
        <w:pStyle w:val="Nivel2"/>
        <w:numPr>
          <w:ilvl w:val="0"/>
          <w:numId w:val="0"/>
        </w:numPr>
        <w:spacing w:line="240" w:lineRule="auto"/>
        <w:rPr>
          <w:rFonts w:ascii="Times New Roman" w:eastAsia="MS Mincho" w:hAnsi="Times New Roman" w:cs="Times New Roman"/>
          <w:i/>
          <w:iCs/>
          <w:sz w:val="24"/>
          <w:szCs w:val="24"/>
        </w:rPr>
      </w:pPr>
    </w:p>
    <w:p w14:paraId="55B01B0C" w14:textId="77777777" w:rsidR="00573B28" w:rsidRPr="00051ABE" w:rsidRDefault="00573B28" w:rsidP="00954E1F">
      <w:pPr>
        <w:pStyle w:val="Nvel01-SemNumerao"/>
        <w:spacing w:before="120" w:line="240" w:lineRule="auto"/>
        <w:rPr>
          <w:rFonts w:ascii="Times New Roman" w:hAnsi="Times New Roman" w:cs="Times New Roman"/>
          <w:sz w:val="24"/>
          <w:szCs w:val="24"/>
        </w:rPr>
      </w:pPr>
      <w:commentRangeStart w:id="30"/>
      <w:r w:rsidRPr="00051ABE">
        <w:rPr>
          <w:rFonts w:ascii="Times New Roman" w:hAnsi="Times New Roman" w:cs="Times New Roman"/>
          <w:sz w:val="24"/>
          <w:szCs w:val="24"/>
        </w:rPr>
        <w:t>Exigências de habilitação</w:t>
      </w:r>
    </w:p>
    <w:p w14:paraId="600A719A" w14:textId="77777777" w:rsidR="00573B28"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Para fins de habilitação, deverá o licitante comprovar os seguintes requisitos:</w:t>
      </w:r>
      <w:commentRangeEnd w:id="30"/>
      <w:r w:rsidRPr="00051ABE">
        <w:rPr>
          <w:rFonts w:ascii="Times New Roman" w:hAnsi="Times New Roman" w:cs="Times New Roman"/>
          <w:sz w:val="24"/>
          <w:szCs w:val="24"/>
        </w:rPr>
        <w:commentReference w:id="30"/>
      </w:r>
    </w:p>
    <w:p w14:paraId="1F6DC16B" w14:textId="77777777" w:rsidR="002C68F2" w:rsidRPr="00051ABE" w:rsidRDefault="002C68F2" w:rsidP="002C68F2">
      <w:pPr>
        <w:pStyle w:val="Nivel2"/>
        <w:numPr>
          <w:ilvl w:val="0"/>
          <w:numId w:val="0"/>
        </w:numPr>
        <w:spacing w:line="240" w:lineRule="auto"/>
        <w:rPr>
          <w:rFonts w:ascii="Times New Roman" w:hAnsi="Times New Roman" w:cs="Times New Roman"/>
          <w:sz w:val="24"/>
          <w:szCs w:val="24"/>
        </w:rPr>
      </w:pPr>
    </w:p>
    <w:p w14:paraId="26861B5B" w14:textId="77777777"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Habilitação jurídica</w:t>
      </w:r>
    </w:p>
    <w:p w14:paraId="01D44B27" w14:textId="77777777" w:rsidR="00573B28" w:rsidRPr="00051ABE" w:rsidRDefault="7C90B181" w:rsidP="00954E1F">
      <w:pPr>
        <w:pStyle w:val="Nivel2"/>
        <w:spacing w:line="240" w:lineRule="auto"/>
        <w:rPr>
          <w:rFonts w:ascii="Times New Roman" w:hAnsi="Times New Roman" w:cs="Times New Roman"/>
          <w:sz w:val="24"/>
          <w:szCs w:val="24"/>
        </w:rPr>
      </w:pPr>
      <w:bookmarkStart w:id="31" w:name="_Ref115800561"/>
      <w:commentRangeStart w:id="32"/>
      <w:r w:rsidRPr="00051ABE">
        <w:rPr>
          <w:rFonts w:ascii="Times New Roman" w:hAnsi="Times New Roman" w:cs="Times New Roman"/>
          <w:b/>
          <w:bCs/>
          <w:sz w:val="24"/>
          <w:szCs w:val="24"/>
        </w:rPr>
        <w:t>Pessoa física:</w:t>
      </w:r>
      <w:r w:rsidRPr="00051ABE">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31"/>
      <w:commentRangeEnd w:id="32"/>
      <w:r w:rsidRPr="00051ABE">
        <w:rPr>
          <w:rFonts w:ascii="Times New Roman" w:hAnsi="Times New Roman" w:cs="Times New Roman"/>
          <w:sz w:val="24"/>
          <w:szCs w:val="24"/>
        </w:rPr>
        <w:commentReference w:id="32"/>
      </w:r>
    </w:p>
    <w:p w14:paraId="4BE4D02F" w14:textId="3332B22A" w:rsidR="00F53FA9" w:rsidRPr="00051ABE" w:rsidRDefault="5AF4E053"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Empresário individual</w:t>
      </w:r>
      <w:r w:rsidRPr="00051ABE">
        <w:rPr>
          <w:rFonts w:ascii="Times New Roman" w:hAnsi="Times New Roman" w:cs="Times New Roman"/>
          <w:sz w:val="24"/>
          <w:szCs w:val="24"/>
        </w:rPr>
        <w:t xml:space="preserve">: inscrição no Registro Público de Empresas Mercantis, a cargo da Junta Comercial da respectiva sede; </w:t>
      </w:r>
    </w:p>
    <w:p w14:paraId="556FB7F0" w14:textId="6DC2E7AA" w:rsidR="00F53FA9" w:rsidRPr="00051ABE" w:rsidRDefault="5AF4E053"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Microempreendedor Individual - MEI</w:t>
      </w:r>
      <w:r w:rsidRPr="00051ABE">
        <w:rPr>
          <w:rFonts w:ascii="Times New Roman" w:hAnsi="Times New Roman" w:cs="Times New Roman"/>
          <w:sz w:val="24"/>
          <w:szCs w:val="24"/>
        </w:rPr>
        <w:t xml:space="preserve">: Certificado da Condição de Microempreendedor Individual - CCMEI, cuja aceitação ficará condicionada à verificação da autenticidade no sítio </w:t>
      </w:r>
      <w:hyperlink r:id="rId22">
        <w:r w:rsidRPr="00051ABE">
          <w:rPr>
            <w:rStyle w:val="Hyperlink"/>
            <w:rFonts w:ascii="Times New Roman" w:hAnsi="Times New Roman" w:cs="Times New Roman"/>
            <w:sz w:val="24"/>
            <w:szCs w:val="24"/>
          </w:rPr>
          <w:t>https://www.gov.br/empresas-e-negocios/pt-br/empreendedor</w:t>
        </w:r>
      </w:hyperlink>
      <w:r w:rsidRPr="00051ABE">
        <w:rPr>
          <w:rFonts w:ascii="Times New Roman" w:hAnsi="Times New Roman" w:cs="Times New Roman"/>
          <w:sz w:val="24"/>
          <w:szCs w:val="24"/>
        </w:rPr>
        <w:t>;</w:t>
      </w:r>
    </w:p>
    <w:p w14:paraId="336BFE6A" w14:textId="77777777" w:rsidR="00573B28" w:rsidRPr="00051ABE" w:rsidRDefault="7C90B181" w:rsidP="00954E1F">
      <w:pPr>
        <w:pStyle w:val="Nivel2"/>
        <w:spacing w:line="240" w:lineRule="auto"/>
        <w:rPr>
          <w:rFonts w:ascii="Times New Roman" w:hAnsi="Times New Roman" w:cs="Times New Roman"/>
          <w:sz w:val="24"/>
          <w:szCs w:val="24"/>
        </w:rPr>
      </w:pPr>
      <w:commentRangeStart w:id="33"/>
      <w:r w:rsidRPr="002C68F2">
        <w:rPr>
          <w:rFonts w:ascii="Times New Roman" w:hAnsi="Times New Roman" w:cs="Times New Roman"/>
          <w:b/>
          <w:bCs/>
          <w:sz w:val="24"/>
          <w:szCs w:val="24"/>
        </w:rPr>
        <w:t>Sociedade empresária, sociedade limitada unipessoal – SLU ou sociedade identificada como empresa individual de responsabilidade limitada - EIRELI:</w:t>
      </w:r>
      <w:r w:rsidRPr="00051ABE">
        <w:rPr>
          <w:rFonts w:ascii="Times New Roman" w:hAnsi="Times New Roman" w:cs="Times New Roman"/>
          <w:sz w:val="24"/>
          <w:szCs w:val="24"/>
        </w:rPr>
        <w:t xml:space="preserve"> inscrição do ato constitutivo, estatuto ou contrato social no Registro Público de Empresas Mercantis, a cargo da Junta Comercial da respectiva sede, acompanhada de documento comprobatório de seus administradores;</w:t>
      </w:r>
      <w:commentRangeEnd w:id="33"/>
      <w:r w:rsidRPr="00051ABE">
        <w:rPr>
          <w:rFonts w:ascii="Times New Roman" w:hAnsi="Times New Roman" w:cs="Times New Roman"/>
          <w:sz w:val="24"/>
          <w:szCs w:val="24"/>
        </w:rPr>
        <w:commentReference w:id="33"/>
      </w:r>
    </w:p>
    <w:p w14:paraId="171CA382" w14:textId="100C9ACD" w:rsidR="00573B28" w:rsidRPr="00051ABE" w:rsidRDefault="3BA95684"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Sociedade empresária estrangeira</w:t>
      </w:r>
      <w:r w:rsidRPr="00051ABE">
        <w:rPr>
          <w:rFonts w:ascii="Times New Roman" w:hAnsi="Times New Roman" w:cs="Times New Roman"/>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0B9645B"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Sociedade simples</w:t>
      </w:r>
      <w:r w:rsidRPr="00051ABE">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234BBE64"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Filial, sucursal ou agência de sociedade simples ou empresária</w:t>
      </w:r>
      <w:r w:rsidRPr="00051ABE">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34" w:name="_Int_ySfCXwr4"/>
      <w:r w:rsidRPr="00051ABE">
        <w:rPr>
          <w:rFonts w:ascii="Times New Roman" w:hAnsi="Times New Roman" w:cs="Times New Roman"/>
          <w:sz w:val="24"/>
          <w:szCs w:val="24"/>
        </w:rPr>
        <w:t>Mercantis onde</w:t>
      </w:r>
      <w:bookmarkEnd w:id="34"/>
      <w:r w:rsidRPr="00051ABE">
        <w:rPr>
          <w:rFonts w:ascii="Times New Roman" w:hAnsi="Times New Roman" w:cs="Times New Roman"/>
          <w:sz w:val="24"/>
          <w:szCs w:val="24"/>
        </w:rPr>
        <w:t xml:space="preserve"> opera, com averbação no Registro onde tem sede a matriz</w:t>
      </w:r>
    </w:p>
    <w:p w14:paraId="2BD3D92C"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b/>
          <w:bCs/>
          <w:sz w:val="24"/>
          <w:szCs w:val="24"/>
        </w:rPr>
        <w:t>Sociedade cooperativa</w:t>
      </w:r>
      <w:r w:rsidRPr="00051ABE">
        <w:rPr>
          <w:rFonts w:ascii="Times New Roman" w:hAnsi="Times New Roman" w:cs="Times New Roman"/>
          <w:sz w:val="24"/>
          <w:szCs w:val="24"/>
        </w:rPr>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4B45273" w14:textId="77777777" w:rsidR="00573B28"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Os documentos apresentados deverão estar acompanhados de todas as alterações ou da consolidação respectiva.</w:t>
      </w:r>
    </w:p>
    <w:p w14:paraId="3E42A643" w14:textId="77777777" w:rsidR="002C68F2" w:rsidRPr="00051ABE" w:rsidRDefault="002C68F2" w:rsidP="002C68F2">
      <w:pPr>
        <w:pStyle w:val="Nivel2"/>
        <w:numPr>
          <w:ilvl w:val="0"/>
          <w:numId w:val="0"/>
        </w:numPr>
        <w:spacing w:line="240" w:lineRule="auto"/>
        <w:rPr>
          <w:rFonts w:ascii="Times New Roman" w:hAnsi="Times New Roman" w:cs="Times New Roman"/>
          <w:sz w:val="24"/>
          <w:szCs w:val="24"/>
        </w:rPr>
      </w:pPr>
    </w:p>
    <w:p w14:paraId="04CBC279" w14:textId="77777777" w:rsidR="00573B28" w:rsidRPr="00051ABE" w:rsidRDefault="00573B28" w:rsidP="00954E1F">
      <w:pPr>
        <w:pStyle w:val="Nvel01-SemNumerao"/>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lastRenderedPageBreak/>
        <w:t>Habilitação fiscal, social e trabalhista</w:t>
      </w:r>
    </w:p>
    <w:p w14:paraId="17F05461"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Prova de inscrição no Cadastro Nacional de Pessoas Jurídicas ou no Cadastro de Pessoas Físicas, conforme o caso;</w:t>
      </w:r>
    </w:p>
    <w:p w14:paraId="79E1DE75" w14:textId="2BF137B9"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9202ACF"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Prova de regularidade com o Fundo de Garantia do Tempo de Serviço (FGTS);</w:t>
      </w:r>
    </w:p>
    <w:p w14:paraId="12172E3B" w14:textId="64AF8A5E"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23">
        <w:r w:rsidRPr="00051ABE">
          <w:rPr>
            <w:rStyle w:val="Hyperlink"/>
            <w:rFonts w:ascii="Times New Roman" w:hAnsi="Times New Roman" w:cs="Times New Roman"/>
            <w:sz w:val="24"/>
            <w:szCs w:val="24"/>
          </w:rPr>
          <w:t>Decreto-Lei nº 5.452, de 1º de maio de 1943;</w:t>
        </w:r>
      </w:hyperlink>
    </w:p>
    <w:p w14:paraId="1E55378C" w14:textId="77777777" w:rsidR="00573B28" w:rsidRPr="00051ABE" w:rsidRDefault="7C90B181" w:rsidP="00954E1F">
      <w:pPr>
        <w:pStyle w:val="Nivel2"/>
        <w:spacing w:line="240" w:lineRule="auto"/>
        <w:rPr>
          <w:rFonts w:ascii="Times New Roman" w:hAnsi="Times New Roman" w:cs="Times New Roman"/>
          <w:sz w:val="24"/>
          <w:szCs w:val="24"/>
        </w:rPr>
      </w:pPr>
      <w:commentRangeStart w:id="35"/>
      <w:r w:rsidRPr="00051ABE">
        <w:rPr>
          <w:rFonts w:ascii="Times New Roman" w:hAnsi="Times New Roman" w:cs="Times New Roman"/>
          <w:sz w:val="24"/>
          <w:szCs w:val="24"/>
        </w:rPr>
        <w:t xml:space="preserve">Prova de inscrição no cadastro de contribuintes </w:t>
      </w:r>
      <w:r w:rsidRPr="00051ABE">
        <w:rPr>
          <w:rFonts w:ascii="Times New Roman" w:hAnsi="Times New Roman" w:cs="Times New Roman"/>
          <w:i/>
          <w:iCs/>
          <w:color w:val="FF0000"/>
          <w:sz w:val="24"/>
          <w:szCs w:val="24"/>
        </w:rPr>
        <w:t>[Estadual/Distrital]</w:t>
      </w:r>
      <w:r w:rsidRPr="00051ABE">
        <w:rPr>
          <w:rFonts w:ascii="Times New Roman" w:hAnsi="Times New Roman" w:cs="Times New Roman"/>
          <w:color w:val="FF0000"/>
          <w:sz w:val="24"/>
          <w:szCs w:val="24"/>
        </w:rPr>
        <w:t xml:space="preserve"> ou </w:t>
      </w:r>
      <w:r w:rsidRPr="00051ABE">
        <w:rPr>
          <w:rFonts w:ascii="Times New Roman" w:hAnsi="Times New Roman" w:cs="Times New Roman"/>
          <w:i/>
          <w:iCs/>
          <w:color w:val="FF0000"/>
          <w:sz w:val="24"/>
          <w:szCs w:val="24"/>
        </w:rPr>
        <w:t>[Municipal/Distrital]</w:t>
      </w:r>
      <w:r w:rsidRPr="00051ABE">
        <w:rPr>
          <w:rFonts w:ascii="Times New Roman" w:hAnsi="Times New Roman" w:cs="Times New Roman"/>
          <w:sz w:val="24"/>
          <w:szCs w:val="24"/>
        </w:rPr>
        <w:t xml:space="preserve"> relativo ao domicílio ou sede do fornecedor, pertinente ao seu ramo de atividade e compatível com o objeto contratual; </w:t>
      </w:r>
    </w:p>
    <w:p w14:paraId="4640AC7B"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Prova de regularidade com a Fazenda </w:t>
      </w:r>
      <w:r w:rsidRPr="00051ABE">
        <w:rPr>
          <w:rFonts w:ascii="Times New Roman" w:hAnsi="Times New Roman" w:cs="Times New Roman"/>
          <w:i/>
          <w:iCs/>
          <w:color w:val="FF0000"/>
          <w:sz w:val="24"/>
          <w:szCs w:val="24"/>
        </w:rPr>
        <w:t>[Estadual/Distrital] ou [Municipal/Distrital]</w:t>
      </w:r>
      <w:r w:rsidRPr="00051ABE">
        <w:rPr>
          <w:rFonts w:ascii="Times New Roman" w:hAnsi="Times New Roman" w:cs="Times New Roman"/>
          <w:sz w:val="24"/>
          <w:szCs w:val="24"/>
        </w:rPr>
        <w:t xml:space="preserve"> do domicílio ou sede do fornecedor, relativa à atividade em cujo exercício contrata ou concorre;</w:t>
      </w:r>
      <w:commentRangeEnd w:id="35"/>
      <w:r w:rsidRPr="00051ABE">
        <w:rPr>
          <w:rFonts w:ascii="Times New Roman" w:hAnsi="Times New Roman" w:cs="Times New Roman"/>
          <w:sz w:val="24"/>
          <w:szCs w:val="24"/>
        </w:rPr>
        <w:commentReference w:id="35"/>
      </w:r>
    </w:p>
    <w:p w14:paraId="58555ECE"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Caso o fornecedor seja considerado isento dos tributos </w:t>
      </w:r>
      <w:r w:rsidRPr="00051ABE">
        <w:rPr>
          <w:rFonts w:ascii="Times New Roman" w:hAnsi="Times New Roman" w:cs="Times New Roman"/>
          <w:i/>
          <w:iCs/>
          <w:color w:val="FF0000"/>
          <w:sz w:val="24"/>
          <w:szCs w:val="24"/>
        </w:rPr>
        <w:t>[Estadual/Distrital]</w:t>
      </w:r>
      <w:r w:rsidRPr="00051ABE">
        <w:rPr>
          <w:rFonts w:ascii="Times New Roman" w:hAnsi="Times New Roman" w:cs="Times New Roman"/>
          <w:sz w:val="24"/>
          <w:szCs w:val="24"/>
        </w:rPr>
        <w:t xml:space="preserve"> ou </w:t>
      </w:r>
      <w:r w:rsidRPr="00051ABE">
        <w:rPr>
          <w:rFonts w:ascii="Times New Roman" w:hAnsi="Times New Roman" w:cs="Times New Roman"/>
          <w:i/>
          <w:iCs/>
          <w:color w:val="FF0000"/>
          <w:sz w:val="24"/>
          <w:szCs w:val="24"/>
        </w:rPr>
        <w:t>[Municipal/Distrital]</w:t>
      </w:r>
      <w:r w:rsidRPr="00051ABE">
        <w:rPr>
          <w:rFonts w:ascii="Times New Roman" w:hAnsi="Times New Roman" w:cs="Times New Roman"/>
          <w:sz w:val="24"/>
          <w:szCs w:val="24"/>
        </w:rPr>
        <w:t xml:space="preserve"> relacionados ao objeto contratual, deverá comprovar tal condição mediante a apresentação de declaração da Fazenda respectiva do seu domicílio ou sede, ou outra equivalente, na forma da lei.</w:t>
      </w:r>
    </w:p>
    <w:p w14:paraId="5E22E2CB" w14:textId="0EDE29DE" w:rsidR="00573B28" w:rsidRDefault="7C90B181" w:rsidP="00954E1F">
      <w:pPr>
        <w:pStyle w:val="Nivel2"/>
        <w:spacing w:line="240" w:lineRule="auto"/>
        <w:rPr>
          <w:rFonts w:ascii="Times New Roman" w:hAnsi="Times New Roman" w:cs="Times New Roman"/>
          <w:sz w:val="24"/>
          <w:szCs w:val="24"/>
        </w:rPr>
      </w:pPr>
      <w:bookmarkStart w:id="36" w:name="_Hlk121934117"/>
      <w:commentRangeStart w:id="37"/>
      <w:r w:rsidRPr="00051ABE">
        <w:rPr>
          <w:rFonts w:ascii="Times New Roman" w:hAnsi="Times New Roman" w:cs="Times New Roman"/>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commentRangeEnd w:id="37"/>
      <w:r w:rsidRPr="00051ABE">
        <w:rPr>
          <w:rFonts w:ascii="Times New Roman" w:hAnsi="Times New Roman" w:cs="Times New Roman"/>
          <w:sz w:val="24"/>
          <w:szCs w:val="24"/>
        </w:rPr>
        <w:commentReference w:id="37"/>
      </w:r>
    </w:p>
    <w:p w14:paraId="49C2B903" w14:textId="77777777" w:rsidR="002C68F2" w:rsidRPr="00051ABE" w:rsidRDefault="002C68F2" w:rsidP="002C68F2">
      <w:pPr>
        <w:pStyle w:val="Nivel2"/>
        <w:numPr>
          <w:ilvl w:val="0"/>
          <w:numId w:val="0"/>
        </w:numPr>
        <w:spacing w:line="240" w:lineRule="auto"/>
        <w:rPr>
          <w:rFonts w:ascii="Times New Roman" w:hAnsi="Times New Roman" w:cs="Times New Roman"/>
          <w:sz w:val="24"/>
          <w:szCs w:val="24"/>
        </w:rPr>
      </w:pPr>
    </w:p>
    <w:bookmarkEnd w:id="36"/>
    <w:p w14:paraId="32CEDBB2" w14:textId="77777777" w:rsidR="00573B28" w:rsidRPr="00051ABE" w:rsidRDefault="00573B28" w:rsidP="00954E1F">
      <w:pPr>
        <w:pStyle w:val="Nvel01-SemNumerao"/>
        <w:spacing w:before="120" w:line="240" w:lineRule="auto"/>
        <w:rPr>
          <w:rFonts w:ascii="Times New Roman" w:hAnsi="Times New Roman" w:cs="Times New Roman"/>
          <w:sz w:val="24"/>
          <w:szCs w:val="24"/>
        </w:rPr>
      </w:pPr>
      <w:commentRangeStart w:id="38"/>
      <w:r w:rsidRPr="00051ABE">
        <w:rPr>
          <w:rFonts w:ascii="Times New Roman" w:hAnsi="Times New Roman" w:cs="Times New Roman"/>
          <w:sz w:val="24"/>
          <w:szCs w:val="24"/>
        </w:rPr>
        <w:t>Qualificação Econômico-Financeira</w:t>
      </w:r>
      <w:commentRangeEnd w:id="38"/>
      <w:r w:rsidR="002165CA" w:rsidRPr="00051ABE">
        <w:rPr>
          <w:rStyle w:val="Refdecomentrio"/>
          <w:rFonts w:ascii="Times New Roman" w:eastAsiaTheme="minorEastAsia" w:hAnsi="Times New Roman" w:cs="Times New Roman"/>
          <w:b w:val="0"/>
          <w:bCs w:val="0"/>
          <w:sz w:val="24"/>
          <w:szCs w:val="24"/>
        </w:rPr>
        <w:commentReference w:id="38"/>
      </w:r>
    </w:p>
    <w:p w14:paraId="73B98704" w14:textId="38214ACA"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 </w:t>
      </w:r>
    </w:p>
    <w:p w14:paraId="5EF1B08A" w14:textId="6BD7D61A" w:rsidR="00D23265"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 xml:space="preserve">certidão negativa de falência expedida pelo distribuidor da sede do fornecedor - Lei nº 14.133, de 2021, art. 69, </w:t>
      </w:r>
      <w:r w:rsidRPr="00051ABE">
        <w:rPr>
          <w:rFonts w:ascii="Times New Roman" w:hAnsi="Times New Roman" w:cs="Times New Roman"/>
          <w:i/>
          <w:iCs/>
          <w:sz w:val="24"/>
          <w:szCs w:val="24"/>
        </w:rPr>
        <w:t>caput</w:t>
      </w:r>
      <w:r w:rsidRPr="00051ABE">
        <w:rPr>
          <w:rFonts w:ascii="Times New Roman" w:hAnsi="Times New Roman" w:cs="Times New Roman"/>
          <w:sz w:val="24"/>
          <w:szCs w:val="24"/>
        </w:rPr>
        <w:t>, inciso II);</w:t>
      </w:r>
    </w:p>
    <w:p w14:paraId="608B81CB" w14:textId="2E970E3B" w:rsidR="00D23265" w:rsidRPr="00051ABE" w:rsidRDefault="00D23265" w:rsidP="00954E1F">
      <w:pPr>
        <w:pStyle w:val="Nivel2"/>
        <w:spacing w:line="240" w:lineRule="auto"/>
        <w:rPr>
          <w:rStyle w:val="eop"/>
          <w:rFonts w:ascii="Times New Roman" w:hAnsi="Times New Roman" w:cs="Times New Roman"/>
          <w:sz w:val="24"/>
          <w:szCs w:val="24"/>
        </w:rPr>
      </w:pPr>
      <w:r w:rsidRPr="00051ABE">
        <w:rPr>
          <w:rStyle w:val="normaltextrun"/>
          <w:rFonts w:ascii="Times New Roman" w:hAnsi="Times New Roman" w:cs="Times New Roman"/>
          <w:sz w:val="24"/>
          <w:szCs w:val="24"/>
        </w:rPr>
        <w:t>Balanço patrimonial, demonstração de resultado de exercício e demais demonstrações contábeis dos 2 (dois) últimos exercícios sociais, comprovando</w:t>
      </w:r>
      <w:r w:rsidR="4FEDC764" w:rsidRPr="00051ABE">
        <w:rPr>
          <w:rStyle w:val="normaltextrun"/>
          <w:rFonts w:ascii="Times New Roman" w:hAnsi="Times New Roman" w:cs="Times New Roman"/>
          <w:sz w:val="24"/>
          <w:szCs w:val="24"/>
        </w:rPr>
        <w:t>: </w:t>
      </w:r>
    </w:p>
    <w:p w14:paraId="0234E153" w14:textId="77777777" w:rsidR="00D23265" w:rsidRPr="00051ABE" w:rsidRDefault="00D23265" w:rsidP="0020334C">
      <w:pPr>
        <w:pStyle w:val="Nivel3"/>
        <w:rPr>
          <w:rStyle w:val="normaltextrun"/>
        </w:rPr>
      </w:pPr>
      <w:r w:rsidRPr="00051ABE">
        <w:rPr>
          <w:rStyle w:val="normaltextrun"/>
        </w:rPr>
        <w:t xml:space="preserve">índices de Liquidez Geral (LG), Liquidez Corrente (LC), e Solvência Geral (SG) superiores a 1 (um); </w:t>
      </w:r>
    </w:p>
    <w:p w14:paraId="115A0E12" w14:textId="516ED68A" w:rsidR="00D23265" w:rsidRPr="00051ABE" w:rsidRDefault="00D23265" w:rsidP="0020334C">
      <w:pPr>
        <w:pStyle w:val="Nivel3"/>
        <w:rPr>
          <w:rStyle w:val="normaltextrun"/>
        </w:rPr>
      </w:pPr>
      <w:r w:rsidRPr="00051ABE">
        <w:rPr>
          <w:rStyle w:val="normaltextrun"/>
        </w:rPr>
        <w:t>As empresas criadas no exercício financeiro da licitação deverão atender a todas as exigências da habilitação e poderão substituir os demonstrativos contábeis pelo balanço de abertura</w:t>
      </w:r>
      <w:r w:rsidR="05F2E259" w:rsidRPr="00051ABE">
        <w:rPr>
          <w:rStyle w:val="normaltextrun"/>
        </w:rPr>
        <w:t>; e</w:t>
      </w:r>
    </w:p>
    <w:p w14:paraId="12B4BD18" w14:textId="3777FE0D" w:rsidR="00D23265" w:rsidRPr="00051ABE" w:rsidRDefault="00D23265" w:rsidP="0020334C">
      <w:pPr>
        <w:pStyle w:val="Nivel3"/>
        <w:rPr>
          <w:rStyle w:val="eop"/>
        </w:rPr>
      </w:pPr>
      <w:r w:rsidRPr="00051ABE">
        <w:rPr>
          <w:rStyle w:val="normaltextrun"/>
        </w:rPr>
        <w:t>Os documentos referidos acima limitar-se-ão ao último exercício no caso de a pessoa jurídica ter sido constituída há menos de 2 (dois) anos.</w:t>
      </w:r>
      <w:r w:rsidRPr="00051ABE">
        <w:rPr>
          <w:rStyle w:val="eop"/>
        </w:rPr>
        <w:t> </w:t>
      </w:r>
    </w:p>
    <w:p w14:paraId="28F65DA0" w14:textId="6D34BB80" w:rsidR="1AA0B9CD" w:rsidRPr="00051ABE" w:rsidRDefault="1AA0B9CD" w:rsidP="0020334C">
      <w:pPr>
        <w:pStyle w:val="Nivel3"/>
        <w:rPr>
          <w:rStyle w:val="eop"/>
          <w:rFonts w:eastAsia="MS Mincho"/>
          <w:color w:val="000000" w:themeColor="text1"/>
        </w:rPr>
      </w:pPr>
      <w:r w:rsidRPr="00051ABE">
        <w:rPr>
          <w:rStyle w:val="eop"/>
          <w:rFonts w:eastAsia="MS Mincho"/>
          <w:color w:val="000000" w:themeColor="text1"/>
        </w:rPr>
        <w:t xml:space="preserve">Os documentos referidos acima deverão ser exigidos com base no limite definido pela Receita Federal do Brasil para transmissão da Escrituração Contábil Digital - ECD ao </w:t>
      </w:r>
      <w:proofErr w:type="spellStart"/>
      <w:r w:rsidRPr="00051ABE">
        <w:rPr>
          <w:rStyle w:val="eop"/>
          <w:rFonts w:eastAsia="MS Mincho"/>
          <w:color w:val="000000" w:themeColor="text1"/>
        </w:rPr>
        <w:t>Sped</w:t>
      </w:r>
      <w:proofErr w:type="spellEnd"/>
      <w:r w:rsidRPr="00051ABE">
        <w:rPr>
          <w:rStyle w:val="eop"/>
          <w:rFonts w:eastAsia="MS Mincho"/>
          <w:color w:val="000000" w:themeColor="text1"/>
        </w:rPr>
        <w:t xml:space="preserve">.  </w:t>
      </w:r>
    </w:p>
    <w:p w14:paraId="3ABE7DF4" w14:textId="77777777" w:rsidR="00573B28" w:rsidRPr="00051ABE" w:rsidRDefault="7C90B181" w:rsidP="00954E1F">
      <w:pPr>
        <w:pStyle w:val="Nivel2"/>
        <w:spacing w:line="240" w:lineRule="auto"/>
        <w:rPr>
          <w:rFonts w:ascii="Times New Roman" w:hAnsi="Times New Roman" w:cs="Times New Roman"/>
          <w:sz w:val="24"/>
          <w:szCs w:val="24"/>
        </w:rPr>
      </w:pPr>
      <w:commentRangeStart w:id="39"/>
      <w:r w:rsidRPr="00051ABE">
        <w:rPr>
          <w:rFonts w:ascii="Times New Roman" w:hAnsi="Times New Roman" w:cs="Times New Roman"/>
          <w:sz w:val="24"/>
          <w:szCs w:val="24"/>
        </w:rPr>
        <w:lastRenderedPageBreak/>
        <w:t xml:space="preserve">Caso a empresa licitante apresente resultado inferior ou igual a 1 (um) em qualquer dos índices de Liquidez Geral (LG), Solvência Geral (SG) e Liquidez Corrente (LC), será exigido para fins de habilitação </w:t>
      </w:r>
      <w:r w:rsidRPr="00051ABE">
        <w:rPr>
          <w:rFonts w:ascii="Times New Roman" w:hAnsi="Times New Roman" w:cs="Times New Roman"/>
          <w:color w:val="FF0000"/>
          <w:sz w:val="24"/>
          <w:szCs w:val="24"/>
        </w:rPr>
        <w:t xml:space="preserve">[capital mínimo] </w:t>
      </w:r>
      <w:r w:rsidRPr="00051ABE">
        <w:rPr>
          <w:rFonts w:ascii="Times New Roman" w:hAnsi="Times New Roman" w:cs="Times New Roman"/>
          <w:color w:val="FF0000"/>
          <w:sz w:val="24"/>
          <w:szCs w:val="24"/>
          <w:u w:val="single"/>
        </w:rPr>
        <w:t>OU</w:t>
      </w:r>
      <w:r w:rsidRPr="00051ABE">
        <w:rPr>
          <w:rFonts w:ascii="Times New Roman" w:hAnsi="Times New Roman" w:cs="Times New Roman"/>
          <w:color w:val="0000FF"/>
          <w:sz w:val="24"/>
          <w:szCs w:val="24"/>
        </w:rPr>
        <w:t xml:space="preserve"> </w:t>
      </w:r>
      <w:r w:rsidRPr="00051ABE">
        <w:rPr>
          <w:rFonts w:ascii="Times New Roman" w:hAnsi="Times New Roman" w:cs="Times New Roman"/>
          <w:color w:val="FF0000"/>
          <w:sz w:val="24"/>
          <w:szCs w:val="24"/>
        </w:rPr>
        <w:t xml:space="preserve">[patrimônio líquido mínimo] </w:t>
      </w:r>
      <w:r w:rsidRPr="00051ABE">
        <w:rPr>
          <w:rFonts w:ascii="Times New Roman" w:hAnsi="Times New Roman" w:cs="Times New Roman"/>
          <w:sz w:val="24"/>
          <w:szCs w:val="24"/>
        </w:rPr>
        <w:t>de</w:t>
      </w:r>
      <w:r w:rsidRPr="00051ABE">
        <w:rPr>
          <w:rFonts w:ascii="Times New Roman" w:hAnsi="Times New Roman" w:cs="Times New Roman"/>
          <w:color w:val="0000FF"/>
          <w:sz w:val="24"/>
          <w:szCs w:val="24"/>
        </w:rPr>
        <w:t xml:space="preserve"> </w:t>
      </w:r>
      <w:r w:rsidRPr="00051ABE">
        <w:rPr>
          <w:rFonts w:ascii="Times New Roman" w:hAnsi="Times New Roman" w:cs="Times New Roman"/>
          <w:color w:val="FF0000"/>
          <w:sz w:val="24"/>
          <w:szCs w:val="24"/>
        </w:rPr>
        <w:t xml:space="preserve">......% [até 10%] </w:t>
      </w:r>
      <w:r w:rsidRPr="00051ABE">
        <w:rPr>
          <w:rFonts w:ascii="Times New Roman" w:hAnsi="Times New Roman" w:cs="Times New Roman"/>
          <w:sz w:val="24"/>
          <w:szCs w:val="24"/>
        </w:rPr>
        <w:t xml:space="preserve">do </w:t>
      </w:r>
      <w:r w:rsidRPr="00051ABE">
        <w:rPr>
          <w:rFonts w:ascii="Times New Roman" w:hAnsi="Times New Roman" w:cs="Times New Roman"/>
          <w:color w:val="FF0000"/>
          <w:sz w:val="24"/>
          <w:szCs w:val="24"/>
        </w:rPr>
        <w:t xml:space="preserve">[valor total estimado da contratação] </w:t>
      </w:r>
      <w:r w:rsidRPr="00051ABE">
        <w:rPr>
          <w:rFonts w:ascii="Times New Roman" w:hAnsi="Times New Roman" w:cs="Times New Roman"/>
          <w:color w:val="FF0000"/>
          <w:sz w:val="24"/>
          <w:szCs w:val="24"/>
          <w:u w:val="single"/>
        </w:rPr>
        <w:t>OU</w:t>
      </w:r>
      <w:r w:rsidRPr="00051ABE">
        <w:rPr>
          <w:rFonts w:ascii="Times New Roman" w:hAnsi="Times New Roman" w:cs="Times New Roman"/>
          <w:color w:val="FF0000"/>
          <w:sz w:val="24"/>
          <w:szCs w:val="24"/>
        </w:rPr>
        <w:t xml:space="preserve"> [valor total estimado da parcela pertinente]</w:t>
      </w:r>
      <w:r w:rsidRPr="00051ABE">
        <w:rPr>
          <w:rFonts w:ascii="Times New Roman" w:hAnsi="Times New Roman" w:cs="Times New Roman"/>
          <w:sz w:val="24"/>
          <w:szCs w:val="24"/>
        </w:rPr>
        <w:t>.</w:t>
      </w:r>
      <w:commentRangeEnd w:id="39"/>
      <w:r w:rsidRPr="00051ABE">
        <w:rPr>
          <w:rFonts w:ascii="Times New Roman" w:hAnsi="Times New Roman" w:cs="Times New Roman"/>
          <w:sz w:val="24"/>
          <w:szCs w:val="24"/>
        </w:rPr>
        <w:commentReference w:id="39"/>
      </w:r>
    </w:p>
    <w:p w14:paraId="39E43D18" w14:textId="68E06BF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
    <w:p w14:paraId="5A7DE086" w14:textId="77777777" w:rsidR="00573B28" w:rsidRDefault="7C90B181" w:rsidP="00954E1F">
      <w:pPr>
        <w:pStyle w:val="Nvel2-Red"/>
        <w:spacing w:line="240" w:lineRule="auto"/>
        <w:rPr>
          <w:rFonts w:ascii="Times New Roman" w:hAnsi="Times New Roman" w:cs="Times New Roman"/>
          <w:sz w:val="24"/>
          <w:szCs w:val="24"/>
        </w:rPr>
      </w:pPr>
      <w:commentRangeStart w:id="40"/>
      <w:r w:rsidRPr="00051ABE">
        <w:rPr>
          <w:rFonts w:ascii="Times New Roman" w:hAnsi="Times New Roman" w:cs="Times New Roman"/>
          <w:sz w:val="24"/>
          <w:szCs w:val="24"/>
        </w:rPr>
        <w:t>O atendimento dos índices econômicos previstos neste item deverá ser atestado mediante declaração assinada por profissional habilitado da área contábil, apresentada pelo fornecedor.</w:t>
      </w:r>
      <w:commentRangeEnd w:id="40"/>
      <w:r w:rsidRPr="00051ABE">
        <w:rPr>
          <w:rFonts w:ascii="Times New Roman" w:hAnsi="Times New Roman" w:cs="Times New Roman"/>
          <w:sz w:val="24"/>
          <w:szCs w:val="24"/>
        </w:rPr>
        <w:commentReference w:id="40"/>
      </w:r>
    </w:p>
    <w:p w14:paraId="32AB178B" w14:textId="77777777" w:rsidR="002C68F2" w:rsidRPr="00051ABE" w:rsidRDefault="002C68F2" w:rsidP="002C68F2">
      <w:pPr>
        <w:pStyle w:val="Nvel2-Red"/>
        <w:numPr>
          <w:ilvl w:val="0"/>
          <w:numId w:val="0"/>
        </w:numPr>
        <w:spacing w:line="240" w:lineRule="auto"/>
        <w:rPr>
          <w:rFonts w:ascii="Times New Roman" w:hAnsi="Times New Roman" w:cs="Times New Roman"/>
          <w:sz w:val="24"/>
          <w:szCs w:val="24"/>
        </w:rPr>
      </w:pPr>
    </w:p>
    <w:p w14:paraId="763B237E" w14:textId="77777777" w:rsidR="00573B28" w:rsidRPr="00051ABE" w:rsidRDefault="7C90B181" w:rsidP="00954E1F">
      <w:pPr>
        <w:pStyle w:val="Nvel01-SemNumerao"/>
        <w:spacing w:before="120" w:line="240" w:lineRule="auto"/>
        <w:rPr>
          <w:rFonts w:ascii="Times New Roman" w:hAnsi="Times New Roman" w:cs="Times New Roman"/>
          <w:sz w:val="24"/>
          <w:szCs w:val="24"/>
        </w:rPr>
      </w:pPr>
      <w:commentRangeStart w:id="41"/>
      <w:r w:rsidRPr="00051ABE">
        <w:rPr>
          <w:rFonts w:ascii="Times New Roman" w:hAnsi="Times New Roman" w:cs="Times New Roman"/>
          <w:sz w:val="24"/>
          <w:szCs w:val="24"/>
        </w:rPr>
        <w:t>Qualificação Técnica</w:t>
      </w:r>
      <w:commentRangeEnd w:id="41"/>
      <w:r w:rsidRPr="00051ABE">
        <w:rPr>
          <w:rFonts w:ascii="Times New Roman" w:hAnsi="Times New Roman" w:cs="Times New Roman"/>
          <w:sz w:val="24"/>
          <w:szCs w:val="24"/>
        </w:rPr>
        <w:commentReference w:id="41"/>
      </w:r>
    </w:p>
    <w:p w14:paraId="4FE1A8FA" w14:textId="4EFB05F8" w:rsidR="6DD82A54" w:rsidRPr="00051ABE" w:rsidRDefault="6DD82A54" w:rsidP="00954E1F">
      <w:pPr>
        <w:pStyle w:val="Nvel2-Red"/>
        <w:spacing w:line="240" w:lineRule="auto"/>
        <w:rPr>
          <w:rFonts w:ascii="Times New Roman" w:hAnsi="Times New Roman" w:cs="Times New Roman"/>
          <w:sz w:val="24"/>
          <w:szCs w:val="24"/>
        </w:rPr>
      </w:pPr>
      <w:commentRangeStart w:id="42"/>
      <w:r w:rsidRPr="00051ABE">
        <w:rPr>
          <w:rFonts w:ascii="Times New Roman" w:hAnsi="Times New Roman" w:cs="Times New Roman"/>
          <w:sz w:val="24"/>
          <w:szCs w:val="24"/>
        </w:rPr>
        <w:t>Declaração de que o licitante tomou conhecimento de todas as informações e das condições locais para o cumprimento das obrigações objeto da licitação;</w:t>
      </w:r>
      <w:commentRangeEnd w:id="42"/>
      <w:r w:rsidRPr="00051ABE">
        <w:rPr>
          <w:rFonts w:ascii="Times New Roman" w:hAnsi="Times New Roman" w:cs="Times New Roman"/>
          <w:sz w:val="24"/>
          <w:szCs w:val="24"/>
        </w:rPr>
        <w:commentReference w:id="42"/>
      </w:r>
    </w:p>
    <w:p w14:paraId="1E09D5D5" w14:textId="7D16CD91" w:rsidR="6DD82A54" w:rsidRPr="00051ABE" w:rsidRDefault="6DD82A54"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A declaração acima poderá ser substituída por declaração formal assinada pelo responsável técnico do licitante acerca do conhecimento pleno das condições e peculiaridades da contratação.</w:t>
      </w:r>
    </w:p>
    <w:p w14:paraId="38ACE7D6" w14:textId="49A190EA" w:rsidR="03FE9936" w:rsidRPr="00051ABE" w:rsidRDefault="03FE9936"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Registro ou inscrição da empresa n</w:t>
      </w:r>
      <w:r w:rsidR="7AE1CD34" w:rsidRPr="00051ABE">
        <w:rPr>
          <w:rFonts w:ascii="Times New Roman" w:hAnsi="Times New Roman" w:cs="Times New Roman"/>
          <w:sz w:val="24"/>
          <w:szCs w:val="24"/>
        </w:rPr>
        <w:t xml:space="preserve">a entidade </w:t>
      </w:r>
      <w:r w:rsidRPr="00051ABE">
        <w:rPr>
          <w:rFonts w:ascii="Times New Roman" w:hAnsi="Times New Roman" w:cs="Times New Roman"/>
          <w:sz w:val="24"/>
          <w:szCs w:val="24"/>
        </w:rPr>
        <w:t xml:space="preserve">profissional </w:t>
      </w:r>
      <w:r w:rsidR="5D450D7A" w:rsidRPr="00051ABE">
        <w:rPr>
          <w:rFonts w:ascii="Times New Roman" w:hAnsi="Times New Roman" w:cs="Times New Roman"/>
          <w:sz w:val="24"/>
          <w:szCs w:val="24"/>
        </w:rPr>
        <w:t>competente</w:t>
      </w:r>
      <w:r w:rsidRPr="00051ABE">
        <w:rPr>
          <w:rFonts w:ascii="Times New Roman" w:hAnsi="Times New Roman" w:cs="Times New Roman"/>
          <w:sz w:val="24"/>
          <w:szCs w:val="24"/>
        </w:rPr>
        <w:t xml:space="preserve"> .........(escrever por extenso, se o caso), em plena validade;</w:t>
      </w:r>
    </w:p>
    <w:p w14:paraId="5A87FFAC" w14:textId="0F2D2324" w:rsidR="03FE9936" w:rsidRPr="00051ABE" w:rsidRDefault="03FE9936" w:rsidP="0020334C">
      <w:pPr>
        <w:pStyle w:val="Nvel3-R"/>
      </w:pPr>
      <w:r w:rsidRPr="00051ABE">
        <w:t>Sociedades empresárias estrangeiras atenderão à exigência por meio da apresentação, no momento da assinatura do contrato, da solicitação de registro perante a entidade profissional competente no Brasil.</w:t>
      </w:r>
    </w:p>
    <w:p w14:paraId="7FFA1951" w14:textId="77777777" w:rsidR="00573B28" w:rsidRPr="00051ABE" w:rsidRDefault="7C90B181"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38AA4152" w14:textId="77777777" w:rsidR="00573B28" w:rsidRPr="00051ABE" w:rsidRDefault="7C90B181" w:rsidP="0020334C">
      <w:pPr>
        <w:pStyle w:val="Nvel3-R"/>
      </w:pPr>
      <w:r w:rsidRPr="00051ABE">
        <w:t xml:space="preserve">Para fins da comprovação de que trata este subitem, os atestados deverão dizer respeito a contratos executados com as seguintes características mínimas: </w:t>
      </w:r>
    </w:p>
    <w:p w14:paraId="7698BB3B" w14:textId="77777777" w:rsidR="00573B28" w:rsidRPr="00051ABE" w:rsidRDefault="7C90B181" w:rsidP="0020334C">
      <w:pPr>
        <w:pStyle w:val="Nvel4-R"/>
      </w:pPr>
      <w:r w:rsidRPr="00051ABE">
        <w:t>[....];</w:t>
      </w:r>
    </w:p>
    <w:p w14:paraId="5C53BB78" w14:textId="77777777" w:rsidR="00573B28" w:rsidRPr="00051ABE" w:rsidRDefault="7C90B181" w:rsidP="0020334C">
      <w:pPr>
        <w:pStyle w:val="Nvel4-R"/>
      </w:pPr>
      <w:r w:rsidRPr="00051ABE">
        <w:t>[....];</w:t>
      </w:r>
    </w:p>
    <w:p w14:paraId="134BE04F" w14:textId="77777777" w:rsidR="00573B28" w:rsidRPr="00051ABE" w:rsidRDefault="7C90B181" w:rsidP="0020334C">
      <w:pPr>
        <w:pStyle w:val="Nvel4-R"/>
      </w:pPr>
      <w:r w:rsidRPr="00051ABE">
        <w:t>[....].</w:t>
      </w:r>
    </w:p>
    <w:p w14:paraId="60E8F7E3" w14:textId="77777777" w:rsidR="00573B28" w:rsidRPr="00051ABE" w:rsidRDefault="7C90B181" w:rsidP="0020334C">
      <w:pPr>
        <w:pStyle w:val="Nvel3-R"/>
      </w:pPr>
      <w:commentRangeStart w:id="43"/>
      <w:r w:rsidRPr="00051ABE">
        <w:t>Será admitida, para fins de comprovação de quantitativo mínimo, a apresentação e o somatório de diferentes atestados executados de forma concomitante.</w:t>
      </w:r>
      <w:commentRangeEnd w:id="43"/>
      <w:r w:rsidRPr="00051ABE">
        <w:commentReference w:id="43"/>
      </w:r>
    </w:p>
    <w:p w14:paraId="23B18FA7" w14:textId="7BA003DC" w:rsidR="00573B28" w:rsidRPr="00051ABE" w:rsidRDefault="7C90B181" w:rsidP="0020334C">
      <w:pPr>
        <w:pStyle w:val="Nvel3-R"/>
      </w:pPr>
      <w:commentRangeStart w:id="44"/>
      <w:r w:rsidRPr="00051ABE">
        <w:t>Os atestados de capacidade técnica poderão ser apresentados em nome da matriz ou da filial d</w:t>
      </w:r>
      <w:r w:rsidR="501DC4F2" w:rsidRPr="00051ABE">
        <w:t>a empresa licitante</w:t>
      </w:r>
      <w:r w:rsidRPr="00051ABE">
        <w:t>.</w:t>
      </w:r>
      <w:commentRangeEnd w:id="44"/>
      <w:r w:rsidRPr="00051ABE">
        <w:commentReference w:id="44"/>
      </w:r>
    </w:p>
    <w:p w14:paraId="5F9013EA" w14:textId="643FD318" w:rsidR="00573B28" w:rsidRPr="00051ABE" w:rsidRDefault="7C90B181" w:rsidP="0020334C">
      <w:pPr>
        <w:pStyle w:val="Nvel3-R"/>
      </w:pPr>
      <w:r w:rsidRPr="00051ABE">
        <w:t xml:space="preserve">O </w:t>
      </w:r>
      <w:r w:rsidR="0AB800EC" w:rsidRPr="00051ABE">
        <w:t>licitante dis</w:t>
      </w:r>
      <w:r w:rsidRPr="00051ABE">
        <w:t>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3558D824" w14:textId="77777777" w:rsidR="00573B28" w:rsidRPr="00051ABE" w:rsidRDefault="7C90B181" w:rsidP="0020334C">
      <w:pPr>
        <w:pStyle w:val="Nvel3-R"/>
      </w:pPr>
      <w:commentRangeStart w:id="45"/>
      <w:r w:rsidRPr="00051ABE">
        <w:t xml:space="preserve">Prova de atendimento aos requisitos ........, previstos na lei ............: </w:t>
      </w:r>
      <w:commentRangeEnd w:id="45"/>
      <w:r w:rsidRPr="00051ABE">
        <w:commentReference w:id="45"/>
      </w:r>
    </w:p>
    <w:p w14:paraId="48804411" w14:textId="77777777" w:rsidR="00573B28" w:rsidRPr="00051ABE" w:rsidRDefault="7C90B181" w:rsidP="00954E1F">
      <w:pPr>
        <w:pStyle w:val="Nivel2"/>
        <w:spacing w:line="240" w:lineRule="auto"/>
        <w:rPr>
          <w:rFonts w:ascii="Times New Roman" w:hAnsi="Times New Roman" w:cs="Times New Roman"/>
          <w:sz w:val="24"/>
          <w:szCs w:val="24"/>
        </w:rPr>
      </w:pPr>
      <w:r w:rsidRPr="00051ABE">
        <w:rPr>
          <w:rFonts w:ascii="Times New Roman" w:hAnsi="Times New Roman" w:cs="Times New Roman"/>
          <w:sz w:val="24"/>
          <w:szCs w:val="24"/>
        </w:rPr>
        <w:t>Caso admitida a participação de cooperativas, será exigida a seguinte documentação complementar:</w:t>
      </w:r>
    </w:p>
    <w:p w14:paraId="7BC02DDE" w14:textId="11122C5F" w:rsidR="00573B28" w:rsidRPr="00051ABE" w:rsidRDefault="7C90B181" w:rsidP="0020334C">
      <w:pPr>
        <w:pStyle w:val="Nivel3"/>
      </w:pPr>
      <w:r w:rsidRPr="00051ABE">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proofErr w:type="spellStart"/>
      <w:r w:rsidRPr="00051ABE">
        <w:t>arts</w:t>
      </w:r>
      <w:proofErr w:type="spellEnd"/>
      <w:r w:rsidRPr="00051ABE">
        <w:t>. 4º, inciso XI, 21, inciso I e 42, §§2º a 6º da Lei n. 5.764, de 1971;</w:t>
      </w:r>
    </w:p>
    <w:p w14:paraId="16AC9ADB" w14:textId="77777777" w:rsidR="00573B28" w:rsidRPr="00051ABE" w:rsidRDefault="7C90B181" w:rsidP="0020334C">
      <w:pPr>
        <w:pStyle w:val="Nivel3"/>
      </w:pPr>
      <w:r w:rsidRPr="00051ABE">
        <w:lastRenderedPageBreak/>
        <w:t>A declaração de regularidade de situação do contribuinte individual – DRSCI, para cada um dos cooperados indicados;</w:t>
      </w:r>
    </w:p>
    <w:p w14:paraId="76BD8B1D" w14:textId="77777777" w:rsidR="00573B28" w:rsidRPr="00051ABE" w:rsidRDefault="7C90B181" w:rsidP="0020334C">
      <w:pPr>
        <w:pStyle w:val="Nivel3"/>
      </w:pPr>
      <w:r w:rsidRPr="00051ABE">
        <w:t xml:space="preserve">A comprovação do capital social proporcional ao número de cooperados necessários à prestação do serviço; </w:t>
      </w:r>
    </w:p>
    <w:p w14:paraId="608EC348" w14:textId="73E36B40" w:rsidR="00573B28" w:rsidRPr="00051ABE" w:rsidRDefault="7C90B181" w:rsidP="0020334C">
      <w:pPr>
        <w:pStyle w:val="Nivel3"/>
      </w:pPr>
      <w:r w:rsidRPr="00051ABE">
        <w:t>O registro previsto na Lei n. 5.764, de 1971, art. 107;</w:t>
      </w:r>
    </w:p>
    <w:p w14:paraId="5FE682C9" w14:textId="77777777" w:rsidR="00573B28" w:rsidRPr="00051ABE" w:rsidRDefault="7C90B181" w:rsidP="0020334C">
      <w:pPr>
        <w:pStyle w:val="Nivel3"/>
      </w:pPr>
      <w:r w:rsidRPr="00051ABE">
        <w:t xml:space="preserve"> A comprovação de integração das respectivas quotas-partes por parte dos cooperados que executarão o contrato;</w:t>
      </w:r>
    </w:p>
    <w:p w14:paraId="29344CDC" w14:textId="341A19BB" w:rsidR="00573B28" w:rsidRDefault="7C90B181" w:rsidP="0020334C">
      <w:pPr>
        <w:pStyle w:val="Nivel3"/>
      </w:pPr>
      <w:r w:rsidRPr="00051ABE">
        <w:t>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 licitação</w:t>
      </w:r>
      <w:r w:rsidR="002C68F2">
        <w:t>.</w:t>
      </w:r>
    </w:p>
    <w:p w14:paraId="5AD446D9" w14:textId="77777777" w:rsidR="002C68F2" w:rsidRPr="00051ABE" w:rsidRDefault="002C68F2" w:rsidP="002C68F2">
      <w:pPr>
        <w:pStyle w:val="Nivel3"/>
        <w:numPr>
          <w:ilvl w:val="0"/>
          <w:numId w:val="0"/>
        </w:numPr>
        <w:ind w:left="284"/>
      </w:pPr>
    </w:p>
    <w:bookmarkEnd w:id="1"/>
    <w:p w14:paraId="29EC456D" w14:textId="77777777" w:rsidR="00573B28" w:rsidRPr="00051ABE" w:rsidRDefault="00573B28" w:rsidP="00954E1F">
      <w:pPr>
        <w:pStyle w:val="Nivel01"/>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ESTIMATIVAS DO VALOR DA CONTRATAÇÃO</w:t>
      </w:r>
    </w:p>
    <w:p w14:paraId="68302B14" w14:textId="77777777" w:rsidR="00573B28" w:rsidRPr="00051ABE" w:rsidRDefault="00573B28" w:rsidP="00954E1F">
      <w:pPr>
        <w:pStyle w:val="Nivel2"/>
        <w:spacing w:line="240" w:lineRule="auto"/>
        <w:rPr>
          <w:rFonts w:ascii="Times New Roman" w:hAnsi="Times New Roman" w:cs="Times New Roman"/>
          <w:b/>
          <w:bCs/>
          <w:sz w:val="24"/>
          <w:szCs w:val="24"/>
        </w:rPr>
      </w:pPr>
      <w:commentRangeStart w:id="46"/>
      <w:r w:rsidRPr="00051ABE">
        <w:rPr>
          <w:rFonts w:ascii="Times New Roman" w:hAnsi="Times New Roman" w:cs="Times New Roman"/>
          <w:sz w:val="24"/>
          <w:szCs w:val="24"/>
        </w:rPr>
        <w:t xml:space="preserve">O custo estimado total da contratação é de R$... </w:t>
      </w:r>
      <w:r w:rsidRPr="00051ABE">
        <w:rPr>
          <w:rFonts w:ascii="Times New Roman" w:hAnsi="Times New Roman" w:cs="Times New Roman"/>
          <w:i/>
          <w:iCs/>
          <w:color w:val="FF0000"/>
          <w:sz w:val="24"/>
          <w:szCs w:val="24"/>
        </w:rPr>
        <w:t>(por extenso)</w:t>
      </w:r>
      <w:r w:rsidRPr="00051ABE">
        <w:rPr>
          <w:rFonts w:ascii="Times New Roman" w:hAnsi="Times New Roman" w:cs="Times New Roman"/>
          <w:sz w:val="24"/>
          <w:szCs w:val="24"/>
        </w:rPr>
        <w:t xml:space="preserve">, conforme custos unitários apostos na </w:t>
      </w:r>
      <w:r w:rsidRPr="00051ABE">
        <w:rPr>
          <w:rFonts w:ascii="Times New Roman" w:hAnsi="Times New Roman" w:cs="Times New Roman"/>
          <w:i/>
          <w:iCs/>
          <w:color w:val="FF0000"/>
          <w:sz w:val="24"/>
          <w:szCs w:val="24"/>
        </w:rPr>
        <w:t xml:space="preserve">[tabela acima] </w:t>
      </w:r>
      <w:r w:rsidRPr="00051ABE">
        <w:rPr>
          <w:rFonts w:ascii="Times New Roman" w:hAnsi="Times New Roman" w:cs="Times New Roman"/>
          <w:b/>
          <w:bCs/>
          <w:i/>
          <w:iCs/>
          <w:color w:val="FF0000"/>
          <w:sz w:val="24"/>
          <w:szCs w:val="24"/>
        </w:rPr>
        <w:t>OU</w:t>
      </w:r>
      <w:r w:rsidRPr="00051ABE">
        <w:rPr>
          <w:rFonts w:ascii="Times New Roman" w:hAnsi="Times New Roman" w:cs="Times New Roman"/>
          <w:i/>
          <w:iCs/>
          <w:color w:val="FF0000"/>
          <w:sz w:val="24"/>
          <w:szCs w:val="24"/>
        </w:rPr>
        <w:t xml:space="preserve"> [em anexo]</w:t>
      </w:r>
      <w:r w:rsidRPr="00051ABE">
        <w:rPr>
          <w:rFonts w:ascii="Times New Roman" w:hAnsi="Times New Roman" w:cs="Times New Roman"/>
          <w:sz w:val="24"/>
          <w:szCs w:val="24"/>
        </w:rPr>
        <w:t>.</w:t>
      </w:r>
      <w:commentRangeEnd w:id="46"/>
      <w:r w:rsidRPr="00051ABE">
        <w:rPr>
          <w:rFonts w:ascii="Times New Roman" w:hAnsi="Times New Roman" w:cs="Times New Roman"/>
          <w:sz w:val="24"/>
          <w:szCs w:val="24"/>
        </w:rPr>
        <w:commentReference w:id="46"/>
      </w:r>
    </w:p>
    <w:p w14:paraId="7E9635F8" w14:textId="77777777" w:rsidR="00573B28" w:rsidRPr="00051ABE" w:rsidRDefault="3E4F9A9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63A1605B" w14:textId="77777777" w:rsidR="00573B28" w:rsidRPr="00051ABE" w:rsidRDefault="00573B28" w:rsidP="00954E1F">
      <w:pPr>
        <w:pStyle w:val="Nvel2-Red"/>
        <w:spacing w:line="240" w:lineRule="auto"/>
        <w:rPr>
          <w:rFonts w:ascii="Times New Roman" w:hAnsi="Times New Roman" w:cs="Times New Roman"/>
          <w:sz w:val="24"/>
          <w:szCs w:val="24"/>
        </w:rPr>
      </w:pPr>
      <w:commentRangeStart w:id="47"/>
      <w:r w:rsidRPr="00051ABE">
        <w:rPr>
          <w:rFonts w:ascii="Times New Roman" w:hAnsi="Times New Roman" w:cs="Times New Roman"/>
          <w:sz w:val="24"/>
          <w:szCs w:val="24"/>
        </w:rPr>
        <w:t>O valor de referência para aplicação do maior desconto corresponde a R$</w:t>
      </w:r>
      <w:proofErr w:type="gramStart"/>
      <w:r w:rsidRPr="00051ABE">
        <w:rPr>
          <w:rFonts w:ascii="Times New Roman" w:hAnsi="Times New Roman" w:cs="Times New Roman"/>
          <w:sz w:val="24"/>
          <w:szCs w:val="24"/>
        </w:rPr>
        <w:t>.....</w:t>
      </w:r>
      <w:commentRangeEnd w:id="47"/>
      <w:proofErr w:type="gramEnd"/>
      <w:r w:rsidRPr="00051ABE">
        <w:rPr>
          <w:rFonts w:ascii="Times New Roman" w:hAnsi="Times New Roman" w:cs="Times New Roman"/>
          <w:sz w:val="24"/>
          <w:szCs w:val="24"/>
        </w:rPr>
        <w:commentReference w:id="47"/>
      </w:r>
    </w:p>
    <w:p w14:paraId="61576361" w14:textId="20427DBB" w:rsidR="00573B28" w:rsidRPr="00051ABE" w:rsidRDefault="3E4F9A9A" w:rsidP="00954E1F">
      <w:pPr>
        <w:pStyle w:val="ou"/>
        <w:spacing w:line="240" w:lineRule="auto"/>
        <w:rPr>
          <w:rFonts w:ascii="Times New Roman" w:hAnsi="Times New Roman" w:cs="Times New Roman"/>
          <w:sz w:val="24"/>
          <w:szCs w:val="24"/>
        </w:rPr>
      </w:pPr>
      <w:r w:rsidRPr="00051ABE">
        <w:rPr>
          <w:rFonts w:ascii="Times New Roman" w:hAnsi="Times New Roman" w:cs="Times New Roman"/>
          <w:sz w:val="24"/>
          <w:szCs w:val="24"/>
        </w:rPr>
        <w:t>OU</w:t>
      </w:r>
    </w:p>
    <w:p w14:paraId="708C605E" w14:textId="77777777" w:rsidR="00573B28" w:rsidRPr="00051ABE" w:rsidRDefault="00573B28" w:rsidP="00954E1F">
      <w:pPr>
        <w:pStyle w:val="Nvel2-Red"/>
        <w:spacing w:line="240" w:lineRule="auto"/>
        <w:rPr>
          <w:rFonts w:ascii="Times New Roman" w:hAnsi="Times New Roman" w:cs="Times New Roman"/>
          <w:sz w:val="24"/>
          <w:szCs w:val="24"/>
        </w:rPr>
      </w:pPr>
      <w:commentRangeStart w:id="48"/>
      <w:r w:rsidRPr="00051ABE">
        <w:rPr>
          <w:rFonts w:ascii="Times New Roman" w:hAnsi="Times New Roman" w:cs="Times New Roman"/>
          <w:sz w:val="24"/>
          <w:szCs w:val="24"/>
        </w:rPr>
        <w:t xml:space="preserve">O custo estimado da contratação possui caráter sigiloso e será tornado público apenas e imediatamente após o julgamento das propostas. </w:t>
      </w:r>
      <w:commentRangeEnd w:id="48"/>
      <w:r w:rsidRPr="00051ABE">
        <w:rPr>
          <w:rFonts w:ascii="Times New Roman" w:hAnsi="Times New Roman" w:cs="Times New Roman"/>
          <w:sz w:val="24"/>
          <w:szCs w:val="24"/>
        </w:rPr>
        <w:commentReference w:id="48"/>
      </w:r>
    </w:p>
    <w:p w14:paraId="5BC9F401" w14:textId="03C3429B" w:rsidR="00573B28" w:rsidRPr="00051ABE" w:rsidRDefault="00573B28"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A estimativa de custo levou em consideração o risco envolvido na contratação e sua alocação entre contratante e contratado, conforme especificado na matriz de risco constante do Contrato</w:t>
      </w:r>
      <w:commentRangeStart w:id="49"/>
      <w:commentRangeEnd w:id="49"/>
      <w:r w:rsidRPr="00051ABE">
        <w:rPr>
          <w:rFonts w:ascii="Times New Roman" w:hAnsi="Times New Roman" w:cs="Times New Roman"/>
          <w:sz w:val="24"/>
          <w:szCs w:val="24"/>
        </w:rPr>
        <w:commentReference w:id="49"/>
      </w:r>
    </w:p>
    <w:p w14:paraId="20388CAA" w14:textId="16A108BB" w:rsidR="73AAF6CB" w:rsidRPr="00051ABE" w:rsidRDefault="73AAF6CB" w:rsidP="00954E1F">
      <w:pPr>
        <w:pStyle w:val="Nvel2-Red"/>
        <w:spacing w:line="240" w:lineRule="auto"/>
        <w:rPr>
          <w:rFonts w:ascii="Times New Roman" w:hAnsi="Times New Roman" w:cs="Times New Roman"/>
          <w:sz w:val="24"/>
          <w:szCs w:val="24"/>
        </w:rPr>
      </w:pPr>
      <w:r w:rsidRPr="00051ABE">
        <w:rPr>
          <w:rFonts w:ascii="Times New Roman" w:hAnsi="Times New Roman" w:cs="Times New Roman"/>
          <w:sz w:val="24"/>
          <w:szCs w:val="24"/>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w:t>
      </w:r>
    </w:p>
    <w:p w14:paraId="1517C815" w14:textId="7C2893FC" w:rsidR="73AAF6CB" w:rsidRPr="00051ABE" w:rsidRDefault="73AAF6CB" w:rsidP="0020334C">
      <w:pPr>
        <w:pStyle w:val="Nvel3-R"/>
      </w:pPr>
      <w:r w:rsidRPr="00051ABE">
        <w:t>em caso de força maior, caso fortuito ou fato do príncipe ou em decorrência de fatos imprevisíveis ou previsíveis de consequências incalculáveis, que inviabilizem a execução da ata tal como pactuada, nos termos do disposto na a</w:t>
      </w:r>
      <w:hyperlink r:id="rId24" w:anchor="art124iid">
        <w:r w:rsidRPr="00051ABE">
          <w:t>línea “d” do inciso II do caput do art. 124 da Lei nº 14.133, de 2021;</w:t>
        </w:r>
      </w:hyperlink>
    </w:p>
    <w:p w14:paraId="388316FC" w14:textId="2A27DC4F" w:rsidR="73AAF6CB" w:rsidRPr="00051ABE" w:rsidRDefault="73AAF6CB" w:rsidP="0020334C">
      <w:pPr>
        <w:pStyle w:val="Nvel3-R"/>
      </w:pPr>
      <w:r w:rsidRPr="00051ABE">
        <w:t>em caso de criação, alteração ou extinção de quaisquer tributos ou encargos legais ou superveniência de disposições legais, com comprovada repercussão sobre os preços registrados;</w:t>
      </w:r>
    </w:p>
    <w:p w14:paraId="586395CD" w14:textId="23498FA6" w:rsidR="73AAF6CB" w:rsidRPr="00051ABE" w:rsidRDefault="73AAF6CB" w:rsidP="0020334C">
      <w:pPr>
        <w:pStyle w:val="Nvel3-R"/>
      </w:pPr>
      <w:r w:rsidRPr="00051ABE">
        <w:t>serão reajustados os preços registrados, respeitada a contagem da anualidade e o índice previsto para a contratação; ou</w:t>
      </w:r>
    </w:p>
    <w:p w14:paraId="736A9DC9" w14:textId="7000A88B" w:rsidR="73AAF6CB" w:rsidRDefault="73AAF6CB" w:rsidP="0020334C">
      <w:pPr>
        <w:pStyle w:val="Nvel3-R"/>
      </w:pPr>
      <w:r w:rsidRPr="00051ABE">
        <w:t>poderão ser repactuados, a pedido do interessado, conforme critérios definidos para a contratação.</w:t>
      </w:r>
    </w:p>
    <w:p w14:paraId="6DED18BB" w14:textId="77777777" w:rsidR="00676EFB" w:rsidRPr="00051ABE" w:rsidRDefault="00676EFB" w:rsidP="00676EFB">
      <w:pPr>
        <w:pStyle w:val="Nvel3-R"/>
        <w:numPr>
          <w:ilvl w:val="0"/>
          <w:numId w:val="0"/>
        </w:numPr>
        <w:ind w:left="284"/>
      </w:pPr>
    </w:p>
    <w:p w14:paraId="37309E25" w14:textId="77777777" w:rsidR="00573B28" w:rsidRPr="00051ABE" w:rsidRDefault="00573B28" w:rsidP="00954E1F">
      <w:pPr>
        <w:pStyle w:val="Nivel01"/>
        <w:spacing w:before="120" w:line="240" w:lineRule="auto"/>
        <w:rPr>
          <w:rFonts w:ascii="Times New Roman" w:hAnsi="Times New Roman" w:cs="Times New Roman"/>
          <w:sz w:val="24"/>
          <w:szCs w:val="24"/>
        </w:rPr>
      </w:pPr>
      <w:r w:rsidRPr="00051ABE">
        <w:rPr>
          <w:rFonts w:ascii="Times New Roman" w:hAnsi="Times New Roman" w:cs="Times New Roman"/>
          <w:sz w:val="24"/>
          <w:szCs w:val="24"/>
        </w:rPr>
        <w:t>ADEQUAÇÃO ORÇAMENTÁRIA</w:t>
      </w:r>
    </w:p>
    <w:bookmarkEnd w:id="0"/>
    <w:p w14:paraId="7C669AF8" w14:textId="77777777" w:rsidR="00676EFB" w:rsidRPr="00F4472E" w:rsidRDefault="00676EFB" w:rsidP="00676EFB">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As despesas decorrentes da presente contratação correrão à conta de recursos específicos dispostos na Lei Orçamentária Anual deste Município</w:t>
      </w:r>
      <w:r>
        <w:rPr>
          <w:rFonts w:ascii="Times New Roman" w:hAnsi="Times New Roman" w:cs="Times New Roman"/>
          <w:sz w:val="24"/>
          <w:szCs w:val="24"/>
        </w:rPr>
        <w:t xml:space="preserve">, pela seguinte dotação: </w:t>
      </w:r>
      <w:r w:rsidRPr="00841F1F">
        <w:rPr>
          <w:rFonts w:ascii="Times New Roman" w:hAnsi="Times New Roman" w:cs="Times New Roman"/>
          <w:color w:val="FF0000"/>
          <w:sz w:val="24"/>
          <w:szCs w:val="24"/>
        </w:rPr>
        <w:t>[</w:t>
      </w:r>
      <w:proofErr w:type="spellStart"/>
      <w:r w:rsidRPr="00841F1F">
        <w:rPr>
          <w:rFonts w:ascii="Times New Roman" w:hAnsi="Times New Roman" w:cs="Times New Roman"/>
          <w:color w:val="FF0000"/>
          <w:sz w:val="24"/>
          <w:szCs w:val="24"/>
        </w:rPr>
        <w:t>xxxxxxx</w:t>
      </w:r>
      <w:proofErr w:type="spellEnd"/>
      <w:r w:rsidRPr="00841F1F">
        <w:rPr>
          <w:rFonts w:ascii="Times New Roman" w:hAnsi="Times New Roman" w:cs="Times New Roman"/>
          <w:color w:val="FF0000"/>
          <w:sz w:val="24"/>
          <w:szCs w:val="24"/>
        </w:rPr>
        <w:t>]</w:t>
      </w:r>
    </w:p>
    <w:p w14:paraId="63A18853" w14:textId="77777777" w:rsidR="009457FF" w:rsidRPr="00051ABE" w:rsidRDefault="009457FF" w:rsidP="00954E1F">
      <w:pPr>
        <w:pStyle w:val="Nivel2"/>
        <w:numPr>
          <w:ilvl w:val="0"/>
          <w:numId w:val="0"/>
        </w:numPr>
        <w:spacing w:line="240" w:lineRule="auto"/>
        <w:ind w:left="709"/>
        <w:rPr>
          <w:rFonts w:ascii="Times New Roman" w:hAnsi="Times New Roman" w:cs="Times New Roman"/>
          <w:sz w:val="24"/>
          <w:szCs w:val="24"/>
        </w:rPr>
      </w:pPr>
    </w:p>
    <w:p w14:paraId="5B25345B" w14:textId="719E5EA3" w:rsidR="00573B28" w:rsidRPr="00051ABE" w:rsidRDefault="00573B28" w:rsidP="00954E1F">
      <w:pPr>
        <w:pStyle w:val="Nivel2"/>
        <w:numPr>
          <w:ilvl w:val="0"/>
          <w:numId w:val="0"/>
        </w:numPr>
        <w:spacing w:line="240" w:lineRule="auto"/>
        <w:ind w:left="709"/>
        <w:rPr>
          <w:rFonts w:ascii="Times New Roman" w:hAnsi="Times New Roman" w:cs="Times New Roman"/>
          <w:sz w:val="24"/>
          <w:szCs w:val="24"/>
        </w:rPr>
      </w:pPr>
      <w:commentRangeStart w:id="50"/>
      <w:r w:rsidRPr="00051ABE">
        <w:rPr>
          <w:rFonts w:ascii="Times New Roman" w:hAnsi="Times New Roman" w:cs="Times New Roman"/>
          <w:sz w:val="24"/>
          <w:szCs w:val="24"/>
        </w:rPr>
        <w:lastRenderedPageBreak/>
        <w:t>[Local]</w:t>
      </w:r>
      <w:r w:rsidRPr="00051ABE">
        <w:rPr>
          <w:rFonts w:ascii="Times New Roman" w:hAnsi="Times New Roman" w:cs="Times New Roman"/>
          <w:color w:val="auto"/>
          <w:sz w:val="24"/>
          <w:szCs w:val="24"/>
        </w:rPr>
        <w:t>,</w:t>
      </w:r>
      <w:r w:rsidRPr="00051ABE">
        <w:rPr>
          <w:rFonts w:ascii="Times New Roman" w:hAnsi="Times New Roman" w:cs="Times New Roman"/>
          <w:sz w:val="24"/>
          <w:szCs w:val="24"/>
        </w:rPr>
        <w:t xml:space="preserve"> [dia] </w:t>
      </w:r>
      <w:r w:rsidRPr="00051ABE">
        <w:rPr>
          <w:rFonts w:ascii="Times New Roman" w:hAnsi="Times New Roman" w:cs="Times New Roman"/>
          <w:color w:val="auto"/>
          <w:sz w:val="24"/>
          <w:szCs w:val="24"/>
        </w:rPr>
        <w:t>de</w:t>
      </w:r>
      <w:r w:rsidRPr="00051ABE">
        <w:rPr>
          <w:rFonts w:ascii="Times New Roman" w:hAnsi="Times New Roman" w:cs="Times New Roman"/>
          <w:sz w:val="24"/>
          <w:szCs w:val="24"/>
        </w:rPr>
        <w:t xml:space="preserve"> [mês] </w:t>
      </w:r>
      <w:r w:rsidRPr="00051ABE">
        <w:rPr>
          <w:rFonts w:ascii="Times New Roman" w:hAnsi="Times New Roman" w:cs="Times New Roman"/>
          <w:color w:val="auto"/>
          <w:sz w:val="24"/>
          <w:szCs w:val="24"/>
        </w:rPr>
        <w:t>de</w:t>
      </w:r>
      <w:r w:rsidRPr="00051ABE">
        <w:rPr>
          <w:rFonts w:ascii="Times New Roman" w:hAnsi="Times New Roman" w:cs="Times New Roman"/>
          <w:sz w:val="24"/>
          <w:szCs w:val="24"/>
        </w:rPr>
        <w:t xml:space="preserve"> [ano].</w:t>
      </w:r>
    </w:p>
    <w:p w14:paraId="3D566A1D" w14:textId="77777777" w:rsidR="00573B28" w:rsidRPr="00051ABE" w:rsidRDefault="00573B28" w:rsidP="00954E1F">
      <w:pPr>
        <w:spacing w:before="120" w:after="120"/>
        <w:ind w:firstLine="709"/>
        <w:jc w:val="center"/>
        <w:rPr>
          <w:rFonts w:ascii="Times New Roman" w:eastAsia="Arial" w:hAnsi="Times New Roman" w:cs="Times New Roman"/>
        </w:rPr>
      </w:pPr>
      <w:r w:rsidRPr="00051ABE">
        <w:rPr>
          <w:rFonts w:ascii="Times New Roman" w:eastAsia="Arial" w:hAnsi="Times New Roman" w:cs="Times New Roman"/>
        </w:rPr>
        <w:t>__________________________________</w:t>
      </w:r>
    </w:p>
    <w:p w14:paraId="3731B952" w14:textId="77777777" w:rsidR="00573B28" w:rsidRPr="00051ABE" w:rsidRDefault="00573B28" w:rsidP="00954E1F">
      <w:pPr>
        <w:spacing w:before="120" w:after="120"/>
        <w:ind w:firstLine="709"/>
        <w:jc w:val="center"/>
        <w:rPr>
          <w:rFonts w:ascii="Times New Roman" w:eastAsia="Arial" w:hAnsi="Times New Roman" w:cs="Times New Roman"/>
        </w:rPr>
      </w:pPr>
      <w:r w:rsidRPr="00051ABE">
        <w:rPr>
          <w:rFonts w:ascii="Times New Roman" w:eastAsia="Arial" w:hAnsi="Times New Roman" w:cs="Times New Roman"/>
        </w:rPr>
        <w:t>Identificação e assinatura do servidor (ou equipe) responsável</w:t>
      </w:r>
      <w:commentRangeEnd w:id="50"/>
      <w:r w:rsidR="00892F7E" w:rsidRPr="00051ABE">
        <w:rPr>
          <w:rStyle w:val="Refdecomentrio"/>
          <w:rFonts w:ascii="Times New Roman" w:hAnsi="Times New Roman" w:cs="Times New Roman"/>
          <w:sz w:val="24"/>
          <w:szCs w:val="24"/>
        </w:rPr>
        <w:commentReference w:id="50"/>
      </w:r>
    </w:p>
    <w:sectPr w:rsidR="00573B28" w:rsidRPr="00051ABE" w:rsidSect="00E93353">
      <w:footerReference w:type="default" r:id="rId25"/>
      <w:headerReference w:type="first" r:id="rId26"/>
      <w:pgSz w:w="11906" w:h="16838" w:code="9"/>
      <w:pgMar w:top="1134"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or" w:initials="A">
    <w:p w14:paraId="34FC048D" w14:textId="77777777" w:rsidR="003352D3" w:rsidRDefault="003352D3">
      <w:pPr>
        <w:pStyle w:val="Textodecomentrio"/>
      </w:pPr>
      <w:r>
        <w:rPr>
          <w:rStyle w:val="Refdecomentrio"/>
        </w:rPr>
        <w:annotationRef/>
      </w:r>
      <w:r>
        <w:rPr>
          <w:b/>
          <w:bCs/>
          <w:i/>
          <w:iCs/>
          <w:color w:val="000000"/>
        </w:rPr>
        <w:t xml:space="preserve">Nota Explicativa 1: </w:t>
      </w:r>
      <w:r>
        <w:rPr>
          <w:i/>
          <w:iCs/>
          <w:color w:val="000000"/>
        </w:rPr>
        <w:t>A tabela acima é meramente ilustrativa, podendo ser livremente alterada conforme o caso concreto.</w:t>
      </w:r>
    </w:p>
    <w:p w14:paraId="43475C1B" w14:textId="77777777" w:rsidR="003352D3" w:rsidRDefault="003352D3">
      <w:pPr>
        <w:pStyle w:val="Textodecomentrio"/>
      </w:pPr>
      <w:r>
        <w:rPr>
          <w:b/>
          <w:bCs/>
          <w:i/>
          <w:iCs/>
          <w:color w:val="000000"/>
        </w:rPr>
        <w:t xml:space="preserve">Nota Explicativa 2: </w:t>
      </w:r>
      <w:r>
        <w:rPr>
          <w:i/>
          <w:iCs/>
          <w:color w:val="000000"/>
        </w:rPr>
        <w:t>A justificativa para o parcelamento ou não do objeto deve constar do Estudo Técnico Preliminar (</w:t>
      </w:r>
      <w:hyperlink r:id="rId1" w:anchor="art18§1" w:history="1">
        <w:r w:rsidRPr="00322D22">
          <w:rPr>
            <w:rStyle w:val="Hyperlink"/>
            <w:i/>
            <w:iCs/>
          </w:rPr>
          <w:t>art. 18, §1º, inciso VIII, da Lei nº 14.133, de 2021</w:t>
        </w:r>
      </w:hyperlink>
      <w:r>
        <w:rPr>
          <w:i/>
          <w:iCs/>
          <w:color w:val="000000"/>
        </w:rPr>
        <w:t xml:space="preserve">, e </w:t>
      </w:r>
      <w:hyperlink r:id="rId2" w:anchor="art9" w:history="1">
        <w:r w:rsidRPr="00322D22">
          <w:rPr>
            <w:rStyle w:val="Hyperlink"/>
            <w:i/>
            <w:iCs/>
          </w:rPr>
          <w:t>art. 9º, inciso VII, da Instrução Normativa SEGES nº 58, de 8 de agosto de 2022</w:t>
        </w:r>
      </w:hyperlink>
      <w:r>
        <w:rPr>
          <w:i/>
          <w:iCs/>
          <w:color w:val="000000"/>
        </w:rPr>
        <w:t>). Os serviços, como regra, devem atender ao parcelamento quando for tecnicamente viável e economicamente vantajoso (</w:t>
      </w:r>
      <w:hyperlink r:id="rId3" w:anchor="art47" w:history="1">
        <w:r w:rsidRPr="00322D22">
          <w:rPr>
            <w:rStyle w:val="Hyperlink"/>
            <w:i/>
            <w:iCs/>
          </w:rPr>
          <w:t>art. 47, inciso II, da Lei n. 14.133, de 2021</w:t>
        </w:r>
      </w:hyperlink>
      <w:r>
        <w:rPr>
          <w:i/>
          <w:iCs/>
          <w:color w:val="000000"/>
        </w:rPr>
        <w:t xml:space="preserve">). Devem também ser observadas as regras do </w:t>
      </w:r>
      <w:hyperlink r:id="rId4" w:anchor="art47§1" w:history="1">
        <w:r w:rsidRPr="00322D22">
          <w:rPr>
            <w:rStyle w:val="Hyperlink"/>
            <w:i/>
            <w:iCs/>
          </w:rPr>
          <w:t>artigo 47, § 1º, da Lei n. 14.133, de 2021</w:t>
        </w:r>
      </w:hyperlink>
      <w:r>
        <w:rPr>
          <w:i/>
          <w:iCs/>
          <w:color w:val="000000"/>
        </w:rPr>
        <w:t>, que trata de aspectos a serem considerados na aplicação do princípio do parcelamento.</w:t>
      </w:r>
    </w:p>
    <w:p w14:paraId="7E20F313" w14:textId="77777777" w:rsidR="003352D3" w:rsidRDefault="003352D3" w:rsidP="007E253C">
      <w:pPr>
        <w:pStyle w:val="Textodecomentrio"/>
      </w:pPr>
      <w:r>
        <w:rPr>
          <w:b/>
          <w:bCs/>
          <w:i/>
          <w:iCs/>
          <w:color w:val="000000"/>
        </w:rPr>
        <w:t xml:space="preserve">Nota Explicativa 3: </w:t>
      </w:r>
      <w:r>
        <w:rPr>
          <w:i/>
          <w:iCs/>
          <w:color w:val="000000"/>
        </w:rPr>
        <w:t xml:space="preserve">Em licitação ou itens de valor correspondente a até R$ 80.000,00 deve ser garantida a participação exclusiva de Microempresa e Empresa de Pequeno Porte (ME e EPP), conforme </w:t>
      </w:r>
      <w:hyperlink r:id="rId5" w:anchor="art48" w:history="1">
        <w:r w:rsidRPr="00322D22">
          <w:rPr>
            <w:rStyle w:val="Hyperlink"/>
            <w:i/>
            <w:iCs/>
          </w:rPr>
          <w:t>artigo 48, inciso I, da Lei Complementar nº 123, de 14 de dezembro de 2006</w:t>
        </w:r>
      </w:hyperlink>
      <w:r>
        <w:rPr>
          <w:i/>
          <w:iCs/>
          <w:color w:val="000000"/>
        </w:rPr>
        <w:t xml:space="preserve">, e </w:t>
      </w:r>
      <w:hyperlink r:id="rId6" w:anchor="art6" w:history="1">
        <w:r w:rsidRPr="00322D22">
          <w:rPr>
            <w:rStyle w:val="Hyperlink"/>
            <w:i/>
            <w:iCs/>
          </w:rPr>
          <w:t>artigo 6º do Decreto nº 8.538, de 06 de outubro de 2015).</w:t>
        </w:r>
      </w:hyperlink>
    </w:p>
  </w:comment>
  <w:comment w:id="3" w:author="Autor" w:initials="A">
    <w:p w14:paraId="7B9761E0" w14:textId="77777777" w:rsidR="0082495D" w:rsidRDefault="0082495D" w:rsidP="007E253C">
      <w:pPr>
        <w:pStyle w:val="Textodecomentrio"/>
      </w:pPr>
      <w:r>
        <w:rPr>
          <w:rStyle w:val="Refdecomentrio"/>
        </w:rPr>
        <w:annotationRef/>
      </w:r>
      <w:r>
        <w:rPr>
          <w:b/>
          <w:bCs/>
          <w:i/>
          <w:iCs/>
          <w:color w:val="000000"/>
        </w:rPr>
        <w:t>Nota Explicativa:</w:t>
      </w:r>
      <w:r>
        <w:rPr>
          <w:i/>
          <w:iCs/>
          <w:color w:val="000000"/>
        </w:rPr>
        <w:t xml:space="preserve"> </w:t>
      </w:r>
      <w:hyperlink r:id="rId7" w:history="1">
        <w:r w:rsidRPr="00120905">
          <w:rPr>
            <w:rStyle w:val="Hyperlink"/>
            <w:i/>
            <w:iCs/>
          </w:rPr>
          <w:t>Orientação Normativa AGU nº 54/2014</w:t>
        </w:r>
      </w:hyperlink>
      <w:r>
        <w:rPr>
          <w:i/>
          <w:iCs/>
          <w:color w:val="000000"/>
        </w:rPr>
        <w:t>: Compete ao agente ou setor técnico da administração declarar que o objeto licitatório é de natureza comum para efeito de utilização da modalidade pregão e definir se o objeto corresponde a obra ou serviço de engenharia, sendo atribuição do órgão jurídico analisar o devido enquadramento da modalidade licitatória aplicável.</w:t>
      </w:r>
    </w:p>
  </w:comment>
  <w:comment w:id="4" w:author="Autor" w:initials="A">
    <w:p w14:paraId="53386B13" w14:textId="77777777" w:rsidR="0082495D" w:rsidRDefault="0082495D">
      <w:pPr>
        <w:pStyle w:val="Textodecomentrio"/>
      </w:pPr>
      <w:r>
        <w:rPr>
          <w:rStyle w:val="Refdecomentrio"/>
        </w:rPr>
        <w:annotationRef/>
      </w:r>
      <w:r>
        <w:rPr>
          <w:b/>
          <w:bCs/>
          <w:i/>
          <w:iCs/>
          <w:color w:val="000000"/>
        </w:rPr>
        <w:t xml:space="preserve">Nota Explicativa 1: </w:t>
      </w:r>
      <w:r>
        <w:rPr>
          <w:i/>
          <w:iCs/>
          <w:color w:val="000000"/>
          <w:u w:val="single"/>
        </w:rPr>
        <w:t>Enquadramento da Contratação para fins de vigência -</w:t>
      </w:r>
      <w:r>
        <w:rPr>
          <w:i/>
          <w:iCs/>
          <w:color w:val="000000"/>
        </w:rPr>
        <w:t xml:space="preserve"> Há dois tipos de contratação por licitação para fornecimento de serviços, no que tange à vigência: </w:t>
      </w:r>
    </w:p>
    <w:p w14:paraId="36709C88" w14:textId="77777777" w:rsidR="0082495D" w:rsidRDefault="0082495D">
      <w:pPr>
        <w:pStyle w:val="Textodecomentrio"/>
      </w:pPr>
      <w:r>
        <w:rPr>
          <w:i/>
          <w:iCs/>
          <w:color w:val="000000"/>
        </w:rPr>
        <w:t xml:space="preserve">a) Há </w:t>
      </w:r>
      <w:r>
        <w:rPr>
          <w:b/>
          <w:bCs/>
          <w:i/>
          <w:iCs/>
          <w:color w:val="000000"/>
        </w:rPr>
        <w:t>serviços não contínuos</w:t>
      </w:r>
      <w:r>
        <w:rPr>
          <w:i/>
          <w:iCs/>
          <w:color w:val="000000"/>
        </w:rPr>
        <w:t xml:space="preserve"> quando se trata de um serviço sem que haja uma demanda de caráter permanente. Uma vez finalizado, resolve-se a necessidade que deu azo ao contrato. Estes usam o </w:t>
      </w:r>
      <w:hyperlink r:id="rId8" w:anchor="art105" w:history="1">
        <w:r w:rsidRPr="009E3C63">
          <w:rPr>
            <w:rStyle w:val="Hyperlink"/>
            <w:i/>
            <w:iCs/>
          </w:rPr>
          <w:t>art.105da Lei nº 14.133, de 2021</w:t>
        </w:r>
      </w:hyperlink>
      <w:r>
        <w:rPr>
          <w:b/>
          <w:bCs/>
          <w:i/>
          <w:iCs/>
          <w:color w:val="000000"/>
        </w:rPr>
        <w:t>,</w:t>
      </w:r>
      <w:r>
        <w:rPr>
          <w:i/>
          <w:iCs/>
          <w:color w:val="000000"/>
        </w:rPr>
        <w:t xml:space="preserve"> como fundamento e partem apenas de créditos do exercício corrente, salvo se inscritos no Plano Plurianual.</w:t>
      </w:r>
    </w:p>
    <w:p w14:paraId="1931E513" w14:textId="77777777" w:rsidR="0082495D" w:rsidRDefault="0082495D">
      <w:pPr>
        <w:pStyle w:val="Textodecomentrio"/>
      </w:pPr>
      <w:r>
        <w:rPr>
          <w:i/>
          <w:iCs/>
          <w:color w:val="000000"/>
        </w:rPr>
        <w:t xml:space="preserve">b) Há </w:t>
      </w:r>
      <w:r>
        <w:rPr>
          <w:b/>
          <w:bCs/>
          <w:i/>
          <w:iCs/>
          <w:color w:val="000000"/>
        </w:rPr>
        <w:t xml:space="preserve">serviços contínuos </w:t>
      </w:r>
      <w:r>
        <w:rPr>
          <w:i/>
          <w:iCs/>
          <w:color w:val="000000"/>
        </w:rPr>
        <w:t xml:space="preserve">quando o serviço é uma necessidade permanente. É o caso, por exemplo, de serviços de limpeza e segurança essenciais para o funcionamento do órgão público. Nessas situações, findado o contrato, haverá sua substituição por um novo e assim, sucessivamente, pois a necessidade em si é permanente. Contratações dessa natureza são atendidas pelo </w:t>
      </w:r>
      <w:hyperlink r:id="rId9" w:anchor="art106" w:history="1">
        <w:r w:rsidRPr="009E3C63">
          <w:rPr>
            <w:rStyle w:val="Hyperlink"/>
            <w:i/>
            <w:iCs/>
          </w:rPr>
          <w:t>art. 106 da Lei nº 14.133, de 2021</w:t>
        </w:r>
      </w:hyperlink>
      <w:r>
        <w:rPr>
          <w:i/>
          <w:iCs/>
          <w:color w:val="000000"/>
        </w:rPr>
        <w:t xml:space="preserve"> Atente-se que há modelo de Termo de Referência específico para serviços continuados com dedicação exclusiva de mão-de-obra.</w:t>
      </w:r>
    </w:p>
    <w:p w14:paraId="2A2DD150" w14:textId="77777777" w:rsidR="0082495D" w:rsidRDefault="0082495D">
      <w:pPr>
        <w:pStyle w:val="Textodecomentrio"/>
      </w:pPr>
      <w:r>
        <w:rPr>
          <w:b/>
          <w:bCs/>
          <w:i/>
          <w:iCs/>
          <w:color w:val="000000"/>
        </w:rPr>
        <w:t xml:space="preserve">Nota Explicativa 2: </w:t>
      </w:r>
      <w:r>
        <w:rPr>
          <w:i/>
          <w:iCs/>
          <w:color w:val="000000"/>
          <w:u w:val="single"/>
        </w:rPr>
        <w:t xml:space="preserve">Prazo de Vigência e Empenho - </w:t>
      </w:r>
      <w:hyperlink r:id="rId10" w:anchor="art105" w:history="1">
        <w:r w:rsidRPr="009E3C63">
          <w:rPr>
            <w:rStyle w:val="Hyperlink"/>
            <w:i/>
            <w:iCs/>
          </w:rPr>
          <w:t>art. 105 da Lei nº 14.133, de 2021</w:t>
        </w:r>
      </w:hyperlink>
      <w:r>
        <w:rPr>
          <w:i/>
          <w:iCs/>
          <w:color w:val="000000"/>
          <w:u w:val="single"/>
        </w:rPr>
        <w:t xml:space="preserve"> – Serviço Não-Contínuo:</w:t>
      </w:r>
      <w:r>
        <w:rPr>
          <w:b/>
          <w:bCs/>
          <w:i/>
          <w:iCs/>
          <w:color w:val="000000"/>
        </w:rPr>
        <w:t xml:space="preserve"> </w:t>
      </w:r>
      <w:r>
        <w:rPr>
          <w:i/>
          <w:iCs/>
          <w:color w:val="000000"/>
        </w:rPr>
        <w:t xml:space="preserve">Em caso de serviço não contínuo, o prazo de vigência deve ser o suficiente para a finalização do objeto e adoção das providências previstas no contrato, sendo a contratação limitada pelos respectivos créditos orçamentários. </w:t>
      </w:r>
    </w:p>
    <w:p w14:paraId="3AC3A183" w14:textId="77777777" w:rsidR="0082495D" w:rsidRDefault="0082495D">
      <w:pPr>
        <w:pStyle w:val="Textodecomentrio"/>
      </w:pPr>
      <w:r>
        <w:rPr>
          <w:i/>
          <w:iCs/>
          <w:color w:val="000000"/>
        </w:rPr>
        <w:t xml:space="preserve">Uma contratação que não tenha previsão no Plano Plurianual deve ter a sua integralidade empenhada antes ou de modo concomitante à celebração, conforme </w:t>
      </w:r>
      <w:hyperlink r:id="rId11" w:history="1">
        <w:r w:rsidRPr="009E3C63">
          <w:rPr>
            <w:rStyle w:val="Hyperlink"/>
            <w:i/>
            <w:iCs/>
          </w:rPr>
          <w:t>Lei nº 4.320, de 17 de março 1964</w:t>
        </w:r>
      </w:hyperlink>
      <w:r>
        <w:rPr>
          <w:i/>
          <w:iCs/>
          <w:color w:val="000000"/>
        </w:rPr>
        <w:t xml:space="preserve">, e </w:t>
      </w:r>
      <w:hyperlink r:id="rId12" w:history="1">
        <w:r w:rsidRPr="009E3C63">
          <w:rPr>
            <w:rStyle w:val="Hyperlink"/>
            <w:i/>
            <w:iCs/>
          </w:rPr>
          <w:t>Decreto nº 93.872, de 23 de dezembro de 1986</w:t>
        </w:r>
      </w:hyperlink>
      <w:r>
        <w:rPr>
          <w:i/>
          <w:iCs/>
          <w:color w:val="000000"/>
        </w:rPr>
        <w:t>, e a partir de tal empenho ter a vigência necessária prevista, utilizando-se de restos a pagar, se for o caso (</w:t>
      </w:r>
      <w:hyperlink r:id="rId13" w:anchor="art30§2" w:history="1">
        <w:r w:rsidRPr="009E3C63">
          <w:rPr>
            <w:rStyle w:val="Hyperlink"/>
            <w:i/>
            <w:iCs/>
          </w:rPr>
          <w:t>art. 30, §2º do Decreto nº 93.872, de 1986</w:t>
        </w:r>
      </w:hyperlink>
      <w:r>
        <w:rPr>
          <w:i/>
          <w:iCs/>
          <w:color w:val="000000"/>
        </w:rPr>
        <w:t>).</w:t>
      </w:r>
    </w:p>
    <w:p w14:paraId="7E17E1F2" w14:textId="77777777" w:rsidR="0082495D" w:rsidRDefault="0082495D">
      <w:pPr>
        <w:pStyle w:val="Textodecomentrio"/>
      </w:pPr>
      <w:r>
        <w:rPr>
          <w:i/>
          <w:iCs/>
          <w:color w:val="000000"/>
        </w:rPr>
        <w:t>Já a contratação prevista no Plano Plurianual pode ter empenhos em anos distintos, considerando a despesa de cada exercício, apenas quanto ao período abrangido pelo PPA.</w:t>
      </w:r>
    </w:p>
    <w:p w14:paraId="75440C6D" w14:textId="77777777" w:rsidR="0082495D" w:rsidRDefault="0082495D">
      <w:pPr>
        <w:pStyle w:val="Textodecomentrio"/>
      </w:pPr>
      <w:r>
        <w:rPr>
          <w:b/>
          <w:bCs/>
          <w:i/>
          <w:iCs/>
          <w:color w:val="000000"/>
        </w:rPr>
        <w:t xml:space="preserve">Nota Explicativa 3: </w:t>
      </w:r>
      <w:r>
        <w:rPr>
          <w:i/>
          <w:iCs/>
          <w:color w:val="000000"/>
          <w:u w:val="single"/>
        </w:rPr>
        <w:t xml:space="preserve">Prazo de Vigência – </w:t>
      </w:r>
      <w:hyperlink r:id="rId14" w:anchor="art106" w:history="1">
        <w:proofErr w:type="spellStart"/>
        <w:r w:rsidRPr="009E3C63">
          <w:rPr>
            <w:rStyle w:val="Hyperlink"/>
            <w:i/>
            <w:iCs/>
          </w:rPr>
          <w:t>arts</w:t>
        </w:r>
        <w:proofErr w:type="spellEnd"/>
        <w:r w:rsidRPr="009E3C63">
          <w:rPr>
            <w:rStyle w:val="Hyperlink"/>
            <w:i/>
            <w:iCs/>
          </w:rPr>
          <w:t>. 106 e 107</w:t>
        </w:r>
      </w:hyperlink>
      <w:r>
        <w:rPr>
          <w:i/>
          <w:iCs/>
          <w:color w:val="000000"/>
          <w:u w:val="single"/>
        </w:rPr>
        <w:t xml:space="preserve"> – Serviço Contínuo:</w:t>
      </w:r>
      <w:r>
        <w:rPr>
          <w:b/>
          <w:bCs/>
          <w:i/>
          <w:iCs/>
          <w:color w:val="000000"/>
        </w:rPr>
        <w:t xml:space="preserve"> </w:t>
      </w:r>
      <w:r>
        <w:rPr>
          <w:i/>
          <w:iCs/>
          <w:color w:val="000000"/>
        </w:rPr>
        <w:t xml:space="preserve">A definição de serviço contínuo consta no </w:t>
      </w:r>
      <w:hyperlink r:id="rId15" w:anchor="art6" w:history="1">
        <w:r w:rsidRPr="009E3C63">
          <w:rPr>
            <w:rStyle w:val="Hyperlink"/>
            <w:i/>
            <w:iCs/>
          </w:rPr>
          <w:t>art. 6º, XV da Lei nº 14.133, de 2021</w:t>
        </w:r>
      </w:hyperlink>
      <w:r>
        <w:rPr>
          <w:i/>
          <w:iCs/>
          <w:color w:val="000000"/>
        </w:rPr>
        <w:t>, sendo os “serviços contratados para a manutenção da atividade administrativa, decorrentes de necessidades permanentes ou prolongadas”.</w:t>
      </w:r>
    </w:p>
    <w:p w14:paraId="4E9DBA31" w14:textId="77777777" w:rsidR="0082495D" w:rsidRDefault="0082495D">
      <w:pPr>
        <w:pStyle w:val="Textodecomentrio"/>
      </w:pPr>
      <w:r>
        <w:rPr>
          <w:i/>
          <w:iCs/>
          <w:color w:val="000000"/>
        </w:rPr>
        <w:t xml:space="preserve">A utilização do prazo de vigência plurianual no caso de fornecimento contínuo é condicionada ao ateste de maior vantagem econômica, a ser feita pela autoridade competente no processo respectivo, conforme </w:t>
      </w:r>
      <w:hyperlink r:id="rId16" w:anchor="art106" w:history="1">
        <w:r w:rsidRPr="009E3C63">
          <w:rPr>
            <w:rStyle w:val="Hyperlink"/>
            <w:i/>
            <w:iCs/>
          </w:rPr>
          <w:t>art. 106, I da Lei nº 14.133, de 2021.</w:t>
        </w:r>
      </w:hyperlink>
      <w:r>
        <w:rPr>
          <w:i/>
          <w:iCs/>
          <w:color w:val="000000"/>
        </w:rPr>
        <w:t xml:space="preserve"> </w:t>
      </w:r>
    </w:p>
    <w:p w14:paraId="606074B5" w14:textId="77777777" w:rsidR="0082495D" w:rsidRDefault="0082495D" w:rsidP="007E253C">
      <w:pPr>
        <w:pStyle w:val="Textodecomentrio"/>
      </w:pPr>
      <w:r>
        <w:rPr>
          <w:i/>
          <w:iCs/>
          <w:color w:val="000000"/>
        </w:rPr>
        <w:t xml:space="preserve">De acordo com o </w:t>
      </w:r>
      <w:hyperlink r:id="rId17" w:anchor="art107" w:history="1">
        <w:r w:rsidRPr="009E3C63">
          <w:rPr>
            <w:rStyle w:val="Hyperlink"/>
            <w:i/>
            <w:iCs/>
          </w:rPr>
          <w:t>artigo 107 da Lei nº 14.133, de 2021</w:t>
        </w:r>
      </w:hyperlink>
      <w:r>
        <w:rPr>
          <w:i/>
          <w:iCs/>
          <w:color w:val="000000"/>
        </w:rPr>
        <w:t>, será possível que contratos de serviço contínuo sejam prorrogados por até 10 anos, desde que haja previsão no edital e/ou contrato e que a autoridade competente ateste que as condições e os preços permanecem vantajosos para a Administração, permitida a negociação com o contratado ou a extinção contratual sem ônus para qualquer das partes.</w:t>
      </w:r>
    </w:p>
  </w:comment>
  <w:comment w:id="5" w:author="Autor" w:initials="A">
    <w:p w14:paraId="08204BAB" w14:textId="63ADB374" w:rsidR="0082495D" w:rsidRDefault="0082495D" w:rsidP="007E253C">
      <w:pPr>
        <w:pStyle w:val="Textodecomentrio"/>
      </w:pPr>
      <w:r>
        <w:rPr>
          <w:rStyle w:val="Refdecomentrio"/>
        </w:rPr>
        <w:annotationRef/>
      </w:r>
      <w:r>
        <w:rPr>
          <w:b/>
          <w:bCs/>
          <w:i/>
          <w:iCs/>
          <w:color w:val="000000"/>
        </w:rPr>
        <w:t>Nota Explicativa</w:t>
      </w:r>
      <w:r>
        <w:rPr>
          <w:i/>
          <w:iCs/>
          <w:color w:val="000000"/>
        </w:rPr>
        <w:t xml:space="preserve">: De acordo com o </w:t>
      </w:r>
      <w:hyperlink r:id="rId18" w:anchor="art6" w:history="1">
        <w:r w:rsidRPr="003B134A">
          <w:rPr>
            <w:rStyle w:val="Hyperlink"/>
            <w:i/>
            <w:iCs/>
          </w:rPr>
          <w:t>artigo 6º, inciso XXIII, alínea ‘c’, da Lei nº 14.133, de 2021</w:t>
        </w:r>
      </w:hyperlink>
      <w:r>
        <w:rPr>
          <w:i/>
          <w:iCs/>
          <w:color w:val="000000"/>
        </w:rPr>
        <w:t xml:space="preserve">, a fundamentação da contratação é realizada mediante “referência aos estudos técnicos preliminares correspondentes ou, quando não for possível divulgar esses estudos, no extrato das partes que não contiverem informações sigilosas”. A </w:t>
      </w:r>
      <w:hyperlink r:id="rId19" w:history="1">
        <w:r w:rsidRPr="003B134A">
          <w:rPr>
            <w:rStyle w:val="Hyperlink"/>
            <w:i/>
            <w:iCs/>
          </w:rPr>
          <w:t>Instrução Normativa SEGES/ME nº 58, de 8 de agosto de 2022</w:t>
        </w:r>
      </w:hyperlink>
      <w:r>
        <w:rPr>
          <w:i/>
          <w:iCs/>
          <w:color w:val="000000"/>
        </w:rPr>
        <w:t xml:space="preserve">, dispõe sobre a “elaboração do ETP, para a aquisição de bens e a contratação de serviços e obras, no âmbito da administração pública federal direta, autárquica e fundacional, e sobre o Sistema ETP digital”. No mesmo sentido é a previsão do </w:t>
      </w:r>
      <w:hyperlink r:id="rId20" w:anchor="art9" w:history="1">
        <w:r w:rsidRPr="003B134A">
          <w:rPr>
            <w:rStyle w:val="Hyperlink"/>
            <w:i/>
            <w:iCs/>
          </w:rPr>
          <w:t>art. 9º, inciso II, da Instrução Normativa Seges/ME nº 81, de 2022</w:t>
        </w:r>
      </w:hyperlink>
      <w:r>
        <w:rPr>
          <w:i/>
          <w:iCs/>
          <w:color w:val="000000"/>
        </w:rPr>
        <w:t>.</w:t>
      </w:r>
    </w:p>
  </w:comment>
  <w:comment w:id="7" w:author="Autor" w:initials="A">
    <w:p w14:paraId="182C067F"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O </w:t>
      </w:r>
      <w:hyperlink r:id="rId21" w:anchor="art18§1" w:history="1">
        <w:r w:rsidRPr="00EE68FB">
          <w:rPr>
            <w:rStyle w:val="Hyperlink"/>
            <w:i/>
            <w:iCs/>
          </w:rPr>
          <w:t>artigo 18, §1º, da Lei nº 14.133, de 2021</w:t>
        </w:r>
      </w:hyperlink>
      <w:r>
        <w:rPr>
          <w:i/>
          <w:iCs/>
          <w:color w:val="000000"/>
        </w:rPr>
        <w:t>, dispõe:</w:t>
      </w:r>
    </w:p>
    <w:p w14:paraId="6C01EA82" w14:textId="77777777" w:rsidR="0082495D" w:rsidRDefault="0082495D">
      <w:pPr>
        <w:pStyle w:val="Textodecomentrio"/>
      </w:pPr>
      <w:r>
        <w:rPr>
          <w:i/>
          <w:iCs/>
          <w:color w:val="000000"/>
        </w:rPr>
        <w:t xml:space="preserve">§ 1º O estudo técnico preliminar a que se refere o inciso I do caput deste artigo deverá evidenciar o problema a ser resolvido e a sua melhor solução, de modo a permitir a avaliação da viabilidade técnica e econômica da contratação, e conterá os seguintes elementos: </w:t>
      </w:r>
    </w:p>
    <w:p w14:paraId="208E7C28" w14:textId="77777777" w:rsidR="0082495D" w:rsidRDefault="0082495D">
      <w:pPr>
        <w:pStyle w:val="Textodecomentrio"/>
      </w:pPr>
      <w:r>
        <w:rPr>
          <w:i/>
          <w:iCs/>
          <w:color w:val="000000"/>
        </w:rPr>
        <w:t>(...)</w:t>
      </w:r>
    </w:p>
    <w:p w14:paraId="153DD8FC" w14:textId="77777777" w:rsidR="0082495D" w:rsidRDefault="0082495D">
      <w:pPr>
        <w:pStyle w:val="Textodecomentrio"/>
      </w:pPr>
      <w:r>
        <w:rPr>
          <w:i/>
          <w:iCs/>
          <w:color w:val="000000"/>
        </w:rPr>
        <w:t>VII - descrição da solução como um todo, inclusive das exigências relacionadas à manutenção e à assistência técnica, quando for o caso.</w:t>
      </w:r>
    </w:p>
    <w:p w14:paraId="00B9F5D8" w14:textId="77777777" w:rsidR="0082495D" w:rsidRDefault="0082495D">
      <w:pPr>
        <w:pStyle w:val="Textodecomentrio"/>
      </w:pPr>
      <w:r>
        <w:rPr>
          <w:i/>
          <w:iCs/>
          <w:color w:val="000000"/>
        </w:rPr>
        <w:t xml:space="preserve">Ver também </w:t>
      </w:r>
      <w:hyperlink r:id="rId22" w:history="1">
        <w:r w:rsidRPr="00EE68FB">
          <w:rPr>
            <w:rStyle w:val="Hyperlink"/>
            <w:i/>
            <w:iCs/>
          </w:rPr>
          <w:t>Instrução Normativa SEGES/ME nº 58, de 08 de agosto de 2022</w:t>
        </w:r>
      </w:hyperlink>
      <w:r>
        <w:rPr>
          <w:i/>
          <w:iCs/>
          <w:color w:val="000000"/>
        </w:rPr>
        <w:t xml:space="preserve"> (ETP), art. 3º, inciso I e art. 6º.</w:t>
      </w:r>
    </w:p>
    <w:p w14:paraId="79191F14" w14:textId="77777777" w:rsidR="0082495D" w:rsidRDefault="0082495D">
      <w:pPr>
        <w:pStyle w:val="Textodecomentrio"/>
      </w:pPr>
      <w:r>
        <w:rPr>
          <w:i/>
          <w:iCs/>
          <w:color w:val="000000"/>
        </w:rPr>
        <w:t xml:space="preserve">Caso haja a necessidade de modificação da descrição em relação à originalmente feita nos estudos </w:t>
      </w:r>
      <w:r>
        <w:rPr>
          <w:i/>
          <w:iCs/>
        </w:rPr>
        <w:t>técnicos preliminares, recomenda-se ajustar a redação do dispositivo 3.1, acima, para que passe a contemplar essa alteração.</w:t>
      </w:r>
    </w:p>
    <w:p w14:paraId="53CA4AA3" w14:textId="77777777" w:rsidR="0082495D" w:rsidRDefault="0082495D">
      <w:pPr>
        <w:pStyle w:val="Textodecomentrio"/>
      </w:pPr>
      <w:r>
        <w:rPr>
          <w:i/>
          <w:iCs/>
          <w:color w:val="000000"/>
        </w:rPr>
        <w:t xml:space="preserve">A </w:t>
      </w:r>
      <w:hyperlink r:id="rId23" w:history="1">
        <w:r w:rsidRPr="00EE68FB">
          <w:rPr>
            <w:rStyle w:val="Hyperlink"/>
            <w:i/>
            <w:iCs/>
          </w:rPr>
          <w:t>Instrução Normativa Seges/ME nº 81, de 2022</w:t>
        </w:r>
      </w:hyperlink>
      <w:r>
        <w:rPr>
          <w:i/>
          <w:iCs/>
          <w:color w:val="000000"/>
        </w:rPr>
        <w:t>, também trata da necessidade de descrição da solução como um todo, considerado todo o ciclo de vida do objeto, com preferência a arranjos inovadores em sede de economia circular, conforme seu artigo 9º, inciso III. Tal orientação deve ser adotada naquilo em que compatível com a contratação de serviços.</w:t>
      </w:r>
    </w:p>
    <w:p w14:paraId="129E24B6" w14:textId="77777777" w:rsidR="0082495D" w:rsidRDefault="0082495D">
      <w:pPr>
        <w:pStyle w:val="Textodecomentrio"/>
      </w:pPr>
      <w:r>
        <w:rPr>
          <w:b/>
          <w:bCs/>
          <w:i/>
          <w:iCs/>
          <w:color w:val="000000"/>
        </w:rPr>
        <w:t>Nota Explicativa 2</w:t>
      </w:r>
      <w:r>
        <w:rPr>
          <w:i/>
          <w:iCs/>
          <w:color w:val="000000"/>
        </w:rPr>
        <w:t xml:space="preserve">: A </w:t>
      </w:r>
      <w:hyperlink r:id="rId24" w:history="1">
        <w:r w:rsidRPr="00EE68FB">
          <w:rPr>
            <w:rStyle w:val="Hyperlink"/>
            <w:i/>
            <w:iCs/>
          </w:rPr>
          <w:t>Instrução Normativa SEGES/ME nº 73, de 30 de setembro de 2022</w:t>
        </w:r>
      </w:hyperlink>
      <w:r>
        <w:rPr>
          <w:i/>
          <w:iCs/>
          <w:color w:val="000000"/>
        </w:rPr>
        <w:t xml:space="preserve">, em seu art. 9º, §1º, estabelece que os custos indiretos, relacionados às despesas de manutenção, utilização, reposição, depreciação e impacto ambiental, entre outros fatores vinculados ao seu ciclo de vida, poderão ser considerados para a definição do menor dispêndio, sempre que objetivamente mensuráveis, conforme parâmetros definidos em regulamento, de acordo com o </w:t>
      </w:r>
      <w:hyperlink r:id="rId25" w:anchor="art34§1" w:history="1">
        <w:r w:rsidRPr="00EE68FB">
          <w:rPr>
            <w:rStyle w:val="Hyperlink"/>
            <w:i/>
            <w:iCs/>
          </w:rPr>
          <w:t>§ 1º do art. 34 da Lei nº 14.133, de 2021</w:t>
        </w:r>
      </w:hyperlink>
      <w:r>
        <w:rPr>
          <w:i/>
          <w:iCs/>
          <w:color w:val="000000"/>
        </w:rPr>
        <w:t>. Logo, a definição do menor dispêndio para Administração deve levar em consideração esse aspecto.</w:t>
      </w:r>
    </w:p>
    <w:p w14:paraId="57F31742" w14:textId="77777777" w:rsidR="0082495D" w:rsidRDefault="0082495D">
      <w:pPr>
        <w:pStyle w:val="Textodecomentrio"/>
      </w:pPr>
      <w:r>
        <w:rPr>
          <w:b/>
          <w:bCs/>
          <w:i/>
          <w:iCs/>
          <w:color w:val="000000"/>
        </w:rPr>
        <w:t>Nota Explicativa 3:</w:t>
      </w:r>
      <w:r>
        <w:rPr>
          <w:i/>
          <w:iCs/>
          <w:color w:val="000000"/>
        </w:rPr>
        <w:t xml:space="preserve"> 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w:t>
      </w:r>
      <w:hyperlink r:id="rId26" w:anchor=":~:text=LEI%20N%C2%BA%204.150%2C%20DE%2021,T%C3%A9cnicas%20e%20d%C3%A1%20outras%20provid%C3%AAncias." w:history="1">
        <w:r w:rsidRPr="00EE68FB">
          <w:rPr>
            <w:rStyle w:val="Hyperlink"/>
            <w:i/>
            <w:iCs/>
          </w:rPr>
          <w:t>Lei n° 4.150, de 21 de novembro de 1962</w:t>
        </w:r>
      </w:hyperlink>
      <w:r>
        <w:rPr>
          <w:i/>
          <w:iCs/>
          <w:color w:val="000000"/>
        </w:rPr>
        <w:t>.</w:t>
      </w:r>
    </w:p>
    <w:p w14:paraId="23D02136" w14:textId="77777777" w:rsidR="0082495D" w:rsidRDefault="0082495D">
      <w:pPr>
        <w:pStyle w:val="Textodecomentrio"/>
      </w:pPr>
      <w:r>
        <w:rPr>
          <w:b/>
          <w:bCs/>
          <w:i/>
          <w:iCs/>
          <w:color w:val="000000"/>
        </w:rPr>
        <w:t xml:space="preserve">Nota Explicativa 4: </w:t>
      </w:r>
      <w:r>
        <w:rPr>
          <w:i/>
          <w:iCs/>
          <w:color w:val="000000"/>
        </w:rPr>
        <w:t xml:space="preserve">O </w:t>
      </w:r>
      <w:hyperlink r:id="rId27" w:anchor="art6" w:history="1">
        <w:r w:rsidRPr="00EE68FB">
          <w:rPr>
            <w:rStyle w:val="Hyperlink"/>
            <w:i/>
            <w:iCs/>
          </w:rPr>
          <w:t>art. 6º, XXIII, “c”, da Lei nº 14.133, de 2021</w:t>
        </w:r>
      </w:hyperlink>
      <w:r>
        <w:rPr>
          <w:i/>
          <w:iCs/>
          <w:color w:val="000000"/>
        </w:rPr>
        <w:t xml:space="preserve">, e o </w:t>
      </w:r>
      <w:hyperlink r:id="rId28" w:history="1">
        <w:r w:rsidRPr="00EE68FB">
          <w:rPr>
            <w:rStyle w:val="Hyperlink"/>
            <w:i/>
            <w:iCs/>
          </w:rPr>
          <w:t>art. 9º, IIII, da Instrução Normativa Seges/ME nº 81, de 2022</w:t>
        </w:r>
      </w:hyperlink>
      <w:r>
        <w:rPr>
          <w:i/>
          <w:iCs/>
          <w:color w:val="000000"/>
        </w:rPr>
        <w:t>,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14:paraId="0296CD1E" w14:textId="77777777" w:rsidR="0082495D" w:rsidRDefault="0082495D">
      <w:pPr>
        <w:pStyle w:val="Textodecomentrio"/>
      </w:pPr>
      <w:r>
        <w:rPr>
          <w:b/>
          <w:bCs/>
          <w:i/>
          <w:iCs/>
          <w:color w:val="000000"/>
        </w:rPr>
        <w:t>Nota Explicativa 5:</w:t>
      </w:r>
      <w:r>
        <w:rPr>
          <w:i/>
          <w:iCs/>
          <w:color w:val="000000"/>
        </w:rPr>
        <w:t xml:space="preserve"> O </w:t>
      </w:r>
      <w:hyperlink r:id="rId29" w:anchor="art47" w:history="1">
        <w:r w:rsidRPr="00EE68FB">
          <w:rPr>
            <w:rStyle w:val="Hyperlink"/>
            <w:i/>
            <w:iCs/>
          </w:rPr>
          <w:t>art. 47, I, da Lei nº 14.133, de 2021,</w:t>
        </w:r>
      </w:hyperlink>
      <w:r>
        <w:rPr>
          <w:i/>
          <w:iCs/>
          <w:color w:val="000000"/>
        </w:rPr>
        <w:t xml:space="preserve"> e o </w:t>
      </w:r>
      <w:hyperlink r:id="rId30" w:history="1">
        <w:r w:rsidRPr="00EE68FB">
          <w:rPr>
            <w:rStyle w:val="Hyperlink"/>
            <w:i/>
            <w:iCs/>
          </w:rPr>
          <w:t>art. 9º, inciso I, alínea b, da Instrução Normativa Seges/ME nº 81, de 2022</w:t>
        </w:r>
      </w:hyperlink>
      <w:r>
        <w:rPr>
          <w:i/>
          <w:iCs/>
          <w:color w:val="000000"/>
        </w:rPr>
        <w:t xml:space="preserve">, estabelece que deve ser feita a especificação do produto/bem/serviço, preferencialmente conforme catálogo eletrônico de padronização, observados os requisitos de qualidade, rendimento, durabilidade e segurança considerada a compatibilidade de especificações estéticas, técnicas ou de desempenho. A </w:t>
      </w:r>
      <w:hyperlink r:id="rId31" w:history="1">
        <w:r w:rsidRPr="00EE68FB">
          <w:rPr>
            <w:rStyle w:val="Hyperlink"/>
            <w:i/>
            <w:iCs/>
          </w:rPr>
          <w:t>Portaria SEGES/ME nº 938, de 02 de fevereiro de 2022</w:t>
        </w:r>
      </w:hyperlink>
      <w:r>
        <w:rPr>
          <w:i/>
          <w:iCs/>
          <w:color w:val="000000"/>
        </w:rPr>
        <w:t xml:space="preserve">, instituiu o catálogo eletrônico de padronização, o qual deverá ser consultado para verificar se a contratação almejada está contemplada em seus termos. quando das licitações cujo critério de julgamento seja o de menor preço ou o de maior desconto, bem como nas contratações diretas de que tratam os </w:t>
      </w:r>
      <w:hyperlink r:id="rId32" w:anchor="art74" w:history="1">
        <w:r w:rsidRPr="00EE68FB">
          <w:rPr>
            <w:rStyle w:val="Hyperlink"/>
            <w:i/>
            <w:iCs/>
          </w:rPr>
          <w:t>incisos I do art. 74 e os incisos I e II do art. 75 da Lei nº 14.133, de 2021</w:t>
        </w:r>
      </w:hyperlink>
      <w:r>
        <w:rPr>
          <w:i/>
          <w:iCs/>
          <w:color w:val="000000"/>
        </w:rPr>
        <w:t>. Em existindo padronização aprovada, ela deve ser considerada e eventual não-uso justificado nos autos.</w:t>
      </w:r>
    </w:p>
    <w:p w14:paraId="6E47A9B9" w14:textId="77777777" w:rsidR="0082495D" w:rsidRDefault="0082495D">
      <w:pPr>
        <w:pStyle w:val="Textodecomentrio"/>
      </w:pPr>
      <w:r>
        <w:rPr>
          <w:b/>
          <w:bCs/>
          <w:i/>
          <w:iCs/>
          <w:color w:val="000000"/>
        </w:rPr>
        <w:t>Nota Explicativa 6:</w:t>
      </w:r>
      <w:r>
        <w:rPr>
          <w:i/>
          <w:iCs/>
          <w:color w:val="000000"/>
        </w:rPr>
        <w:t xml:space="preserve"> O </w:t>
      </w:r>
      <w:hyperlink r:id="rId33" w:anchor="art6" w:history="1">
        <w:r w:rsidRPr="00EE68FB">
          <w:rPr>
            <w:rStyle w:val="Hyperlink"/>
            <w:i/>
            <w:iCs/>
          </w:rPr>
          <w:t>art. 6º, XXIII, “c”, da Lei nº 14.133, de 2021</w:t>
        </w:r>
      </w:hyperlink>
      <w:r>
        <w:rPr>
          <w:i/>
          <w:iCs/>
          <w:color w:val="000000"/>
        </w:rPr>
        <w:t xml:space="preserve">, e o </w:t>
      </w:r>
      <w:hyperlink r:id="rId34" w:anchor="art9" w:history="1">
        <w:r w:rsidRPr="00EE68FB">
          <w:rPr>
            <w:rStyle w:val="Hyperlink"/>
            <w:i/>
            <w:iCs/>
          </w:rPr>
          <w:t>art. 9º, IIII, da Instrução Normativa Seges/ME nº 81, de 2022</w:t>
        </w:r>
      </w:hyperlink>
      <w:r>
        <w:rPr>
          <w:i/>
          <w:iCs/>
          <w:color w:val="000000"/>
        </w:rPr>
        <w:t>, dispõem que a descrição da solução como um todo deve considerar todo o ciclo de vida do objeto. “Ciclo de Vida” é definido no art. 3º da Lei nº 12.305,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documento. A preocupação com o ciclo de vida é mais comum para bens, porém, não se afasta, em princípio, analisar eventual cabimento desse aspecto no planejamento do serviço, principalmente em serviços que envolvam fornecimento de bens e materiais.</w:t>
      </w:r>
    </w:p>
    <w:p w14:paraId="4E471665" w14:textId="77777777" w:rsidR="0082495D" w:rsidRDefault="0082495D">
      <w:pPr>
        <w:pStyle w:val="Textodecomentrio"/>
      </w:pPr>
      <w:r>
        <w:rPr>
          <w:b/>
          <w:bCs/>
          <w:i/>
          <w:iCs/>
          <w:color w:val="000000"/>
        </w:rPr>
        <w:t>Nota Explicativa 7:</w:t>
      </w:r>
      <w:r>
        <w:rPr>
          <w:i/>
          <w:iCs/>
          <w:color w:val="000000"/>
        </w:rPr>
        <w:t xml:space="preserve"> Em havendo elementos de sustentabilidade (fornecimento em material reciclável ou com madeira de reflorestamento etc.) inerentes ao objeto contratual, estes devem estar na solução como um todo de modo específico e concreto, evitando-se descrições genéricas, de difícil aferição e controle. Recomenda-se destacar em tópicos específicos da descrição do objeto seus elementos atinentes a aspectos de sustentabilidade. Sugere-se consultar o </w:t>
      </w:r>
      <w:hyperlink r:id="rId35" w:history="1">
        <w:r w:rsidRPr="00EE68FB">
          <w:rPr>
            <w:rStyle w:val="Hyperlink"/>
            <w:i/>
            <w:iCs/>
          </w:rPr>
          <w:t>Guia Nacional de Contratações Sustentáveis da AGU</w:t>
        </w:r>
      </w:hyperlink>
      <w:r>
        <w:rPr>
          <w:i/>
          <w:iCs/>
          <w:color w:val="000000"/>
        </w:rPr>
        <w:t xml:space="preserve"> para tal fim. Caso o Estudo Técnico Preliminar seja silente ou insuficiente a esse respeito, recomenda-se abrir tópico específico nesta seção sobre a matéria.</w:t>
      </w:r>
    </w:p>
    <w:p w14:paraId="7CF45C2A" w14:textId="77777777" w:rsidR="0082495D" w:rsidRDefault="0082495D" w:rsidP="007E253C">
      <w:pPr>
        <w:pStyle w:val="Textodecomentrio"/>
      </w:pPr>
      <w:r>
        <w:rPr>
          <w:i/>
          <w:iCs/>
          <w:color w:val="000000"/>
        </w:rPr>
        <w:t>Vale registrar que a sustentabilidade pode incidir a partir de características do próprio objeto a ser contratado como também de outros modos, compilados no tópico “requisitos da contratação” deste TR.</w:t>
      </w:r>
    </w:p>
  </w:comment>
  <w:comment w:id="8" w:author="Autor" w:initials="A">
    <w:p w14:paraId="4A68A20F" w14:textId="77777777" w:rsidR="0082495D" w:rsidRDefault="0082495D">
      <w:pPr>
        <w:pStyle w:val="Textodecomentrio"/>
      </w:pPr>
      <w:r>
        <w:rPr>
          <w:rStyle w:val="Refdecomentrio"/>
        </w:rPr>
        <w:annotationRef/>
      </w:r>
      <w:r>
        <w:rPr>
          <w:b/>
          <w:bCs/>
          <w:i/>
          <w:iCs/>
          <w:color w:val="000000"/>
        </w:rPr>
        <w:t xml:space="preserve">Nota Explicativa 1: </w:t>
      </w:r>
      <w:r>
        <w:rPr>
          <w:i/>
          <w:iCs/>
          <w:color w:val="000000"/>
        </w:rPr>
        <w:t xml:space="preserve">Os requisitos da contratação deverão ser registrados nos Sistemas TR DIGITAL e ETP DIGITAL, nos </w:t>
      </w:r>
      <w:r>
        <w:rPr>
          <w:i/>
          <w:iCs/>
        </w:rPr>
        <w:t xml:space="preserve">termos do </w:t>
      </w:r>
      <w:hyperlink r:id="rId36" w:history="1">
        <w:r w:rsidRPr="007F390C">
          <w:rPr>
            <w:rStyle w:val="Hyperlink"/>
            <w:i/>
            <w:iCs/>
          </w:rPr>
          <w:t>art. 9º, inciso IV da IN Seges/ME nº 81, de 2022</w:t>
        </w:r>
      </w:hyperlink>
      <w:r>
        <w:rPr>
          <w:i/>
          <w:iCs/>
        </w:rPr>
        <w:t xml:space="preserve"> </w:t>
      </w:r>
      <w:r>
        <w:rPr>
          <w:i/>
          <w:iCs/>
          <w:color w:val="000000"/>
        </w:rPr>
        <w:t xml:space="preserve">e </w:t>
      </w:r>
      <w:hyperlink r:id="rId37" w:history="1">
        <w:r w:rsidRPr="007F390C">
          <w:rPr>
            <w:rStyle w:val="Hyperlink"/>
            <w:i/>
            <w:iCs/>
          </w:rPr>
          <w:t>art. 9º, II, da Instrução Normativa Seges/ME nº 58, de 2022.</w:t>
        </w:r>
      </w:hyperlink>
    </w:p>
    <w:p w14:paraId="407EB1D8" w14:textId="77777777" w:rsidR="0082495D" w:rsidRDefault="0082495D" w:rsidP="007E253C">
      <w:pPr>
        <w:pStyle w:val="Textodecomentrio"/>
      </w:pPr>
      <w:r>
        <w:rPr>
          <w:b/>
          <w:bCs/>
          <w:i/>
          <w:iCs/>
          <w:color w:val="000000"/>
        </w:rPr>
        <w:t xml:space="preserve">Nota Explicativa 2: </w:t>
      </w:r>
      <w:r>
        <w:rPr>
          <w:i/>
          <w:iCs/>
          <w:color w:val="000000"/>
        </w:rPr>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comment>
  <w:comment w:id="9" w:author="Autor" w:initials="A">
    <w:p w14:paraId="17EC01A2"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A subcontratação deve ser avaliada à luz do </w:t>
      </w:r>
      <w:hyperlink r:id="rId38" w:anchor="art122" w:history="1">
        <w:r w:rsidRPr="00D50D00">
          <w:rPr>
            <w:rStyle w:val="Hyperlink"/>
            <w:i/>
            <w:iCs/>
          </w:rPr>
          <w:t>artigo 122 da Lei nº 14.133, de 2021</w:t>
        </w:r>
      </w:hyperlink>
      <w:r>
        <w:rPr>
          <w:i/>
          <w:iCs/>
          <w:color w:val="000000"/>
        </w:rPr>
        <w:t>:</w:t>
      </w:r>
    </w:p>
    <w:p w14:paraId="540774A0" w14:textId="77777777" w:rsidR="0082495D" w:rsidRDefault="0082495D">
      <w:pPr>
        <w:pStyle w:val="Textodecomentrio"/>
      </w:pPr>
      <w:r>
        <w:rPr>
          <w:i/>
          <w:iCs/>
          <w:color w:val="000000"/>
        </w:rPr>
        <w:t>“Art. 122. Na execução do contrato e sem prejuízo das responsabilidades contratuais e legais, o contratado poderá subcontratar partes da obra, do serviço ou do fornecimento até o limite autorizado, em cada caso, pela Administração.</w:t>
      </w:r>
    </w:p>
    <w:p w14:paraId="3D11F09F" w14:textId="77777777" w:rsidR="0082495D" w:rsidRDefault="0082495D">
      <w:pPr>
        <w:pStyle w:val="Textodecomentrio"/>
      </w:pPr>
      <w:r>
        <w:rPr>
          <w:i/>
          <w:iCs/>
          <w:color w:val="000000"/>
        </w:rPr>
        <w:t>§ 1º O contratado apresentará à Administração documentação que comprove a capacidade técnica do subcontratado, que será avaliada e juntada aos autos do processo correspondente.</w:t>
      </w:r>
    </w:p>
    <w:p w14:paraId="7448DD13" w14:textId="77777777" w:rsidR="0082495D" w:rsidRDefault="0082495D">
      <w:pPr>
        <w:pStyle w:val="Textodecomentrio"/>
      </w:pPr>
      <w:r>
        <w:rPr>
          <w:i/>
          <w:iCs/>
          <w:color w:val="000000"/>
        </w:rPr>
        <w:t>§ 2º Regulamento ou edital de licitação poderão vedar, restringir ou estabelecer condições para a subcontratação.</w:t>
      </w:r>
    </w:p>
    <w:p w14:paraId="3248B706" w14:textId="77777777" w:rsidR="0082495D" w:rsidRDefault="0082495D" w:rsidP="007E253C">
      <w:pPr>
        <w:pStyle w:val="Textodecomentrio"/>
      </w:pPr>
      <w:r>
        <w:rPr>
          <w:i/>
          <w:iCs/>
          <w:color w:val="000000"/>
        </w:rPr>
        <w:t>§ 3º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comment>
  <w:comment w:id="10" w:author="Autor" w:initials="A">
    <w:p w14:paraId="3809C273" w14:textId="77777777" w:rsidR="0082495D" w:rsidRDefault="0082495D">
      <w:pPr>
        <w:pStyle w:val="Textodecomentrio"/>
      </w:pPr>
      <w:r>
        <w:rPr>
          <w:rStyle w:val="Refdecomentrio"/>
        </w:rPr>
        <w:annotationRef/>
      </w:r>
      <w:r>
        <w:rPr>
          <w:b/>
          <w:bCs/>
          <w:i/>
          <w:iCs/>
          <w:color w:val="000000"/>
        </w:rPr>
        <w:t xml:space="preserve">Nota Explicativa 1: </w:t>
      </w:r>
      <w:r>
        <w:rPr>
          <w:i/>
          <w:iCs/>
          <w:color w:val="000000"/>
        </w:rPr>
        <w:t xml:space="preserve">Em caso de necessidade de inclusão de outras especificações técnicas quanto à subcontratação, deverão ser inseridas nestes itens. </w:t>
      </w:r>
    </w:p>
    <w:p w14:paraId="0C0EFA32" w14:textId="77777777" w:rsidR="0082495D" w:rsidRDefault="0082495D" w:rsidP="004F5A39">
      <w:pPr>
        <w:pStyle w:val="Textodecomentrio"/>
      </w:pPr>
      <w:r>
        <w:rPr>
          <w:b/>
          <w:bCs/>
          <w:i/>
          <w:iCs/>
          <w:color w:val="000000"/>
        </w:rPr>
        <w:t xml:space="preserve">Nota Explicativa 2: </w:t>
      </w:r>
      <w:r>
        <w:rPr>
          <w:i/>
          <w:iCs/>
          <w:color w:val="000000"/>
        </w:rPr>
        <w:t>A subcontratação parcial é permitida e deverá ser analisada pela Administração com base nas informações dos estudos preliminares, em cada caso concreto. Caso admitida, o Termo de Referência e o Contrato deverão estabelecer com detalhamento seus limites e condições, inclusive especificando quais parcelas do objeto poderão ser subcontratadas.</w:t>
      </w:r>
    </w:p>
  </w:comment>
  <w:comment w:id="11" w:author="Autor" w:initials="A">
    <w:p w14:paraId="41C32CF4" w14:textId="03A03763" w:rsidR="59CAC803" w:rsidRDefault="16C22A4B">
      <w:r w:rsidRPr="16C22A4B">
        <w:rPr>
          <w:b/>
          <w:bCs/>
          <w:i/>
          <w:iCs/>
        </w:rPr>
        <w:t xml:space="preserve">Nota Explicativa 1: </w:t>
      </w:r>
      <w:r w:rsidRPr="16C22A4B">
        <w:rPr>
          <w:i/>
          <w:iCs/>
        </w:rPr>
        <w:t>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não haja uso de minuta contratual, recomenda-se copiar e colar aqui as regras do contrato sobre esse assunto.</w:t>
      </w:r>
      <w:r w:rsidR="59CAC803">
        <w:annotationRef/>
      </w:r>
    </w:p>
    <w:p w14:paraId="78B14F55" w14:textId="25DBDE61" w:rsidR="59CAC803" w:rsidRDefault="16C22A4B">
      <w:r w:rsidRPr="16C22A4B">
        <w:rPr>
          <w:b/>
          <w:bCs/>
          <w:i/>
          <w:iCs/>
        </w:rPr>
        <w:t>Nota Explicativa 2</w:t>
      </w:r>
      <w:r w:rsidRPr="16C22A4B">
        <w:rPr>
          <w:i/>
          <w:iCs/>
        </w:rPr>
        <w:t>: O percentual da garantia será de:</w:t>
      </w:r>
    </w:p>
    <w:p w14:paraId="6A2008A6" w14:textId="2A2E0519" w:rsidR="59CAC803" w:rsidRDefault="16C22A4B">
      <w:r w:rsidRPr="16C22A4B">
        <w:rPr>
          <w:i/>
          <w:iCs/>
        </w:rPr>
        <w:t xml:space="preserve">a) até 5% (cinco por cento) do valor inicial do contrato, para contratações em geral, conforme </w:t>
      </w:r>
      <w:hyperlink r:id="rId39" w:anchor="art98">
        <w:r w:rsidRPr="16C22A4B">
          <w:rPr>
            <w:rStyle w:val="Hyperlink"/>
            <w:i/>
            <w:iCs/>
          </w:rPr>
          <w:t>art. 98 da Lei nº 14.133, de 2021</w:t>
        </w:r>
      </w:hyperlink>
      <w:r w:rsidRPr="16C22A4B">
        <w:rPr>
          <w:i/>
          <w:iCs/>
        </w:rPr>
        <w:t>;</w:t>
      </w:r>
    </w:p>
    <w:p w14:paraId="2351FF64" w14:textId="585A2CD2" w:rsidR="59CAC803" w:rsidRDefault="16C22A4B">
      <w:r w:rsidRPr="16C22A4B">
        <w:rPr>
          <w:i/>
          <w:iCs/>
        </w:rPr>
        <w:t>b) até 10% (dez por cento) do valor inicial do contrato, nos casos de alta complexidade técnica e riscos envolvidos, caso em que deverá haver justificativa específica nos autos, conforme art. 98 da Lei nº 14.133, de 2021;</w:t>
      </w:r>
    </w:p>
    <w:p w14:paraId="17AC37BE" w14:textId="54F29EE6" w:rsidR="59CAC803" w:rsidRDefault="16C22A4B">
      <w:r w:rsidRPr="16C22A4B">
        <w:rPr>
          <w:i/>
          <w:iCs/>
        </w:rPr>
        <w:t xml:space="preserve">c) deverá ser acrescido de garantia adicional aos percentuais citados anteriormente, em casos de previsão de antecipação de pagamento, nos termos do </w:t>
      </w:r>
      <w:hyperlink r:id="rId40" w:anchor="art145§2">
        <w:r w:rsidRPr="16C22A4B">
          <w:rPr>
            <w:rStyle w:val="Hyperlink"/>
            <w:i/>
            <w:iCs/>
          </w:rPr>
          <w:t>art. 145, § 2º, da Lei nº 14.133, de 2021</w:t>
        </w:r>
      </w:hyperlink>
      <w:r w:rsidRPr="16C22A4B">
        <w:rPr>
          <w:i/>
          <w:iCs/>
        </w:rPr>
        <w:t>;</w:t>
      </w:r>
    </w:p>
    <w:p w14:paraId="3FC4E816" w14:textId="35688274" w:rsidR="59CAC803" w:rsidRDefault="16C22A4B">
      <w:r w:rsidRPr="16C22A4B">
        <w:rPr>
          <w:i/>
          <w:iCs/>
        </w:rPr>
        <w:t>d) Nos casos de contratos que impliquem a entrega de bens pela Administração, dos quais o contratado ficará depositário, o valor desses bens deverá ser acrescido ao valor da garantia calculado de acordo com os itens anteriores.</w:t>
      </w:r>
    </w:p>
    <w:p w14:paraId="577C0CFE" w14:textId="3C4884BC" w:rsidR="59CAC803" w:rsidRDefault="16C22A4B">
      <w:r w:rsidRPr="16C22A4B">
        <w:rPr>
          <w:b/>
          <w:bCs/>
          <w:i/>
          <w:iCs/>
        </w:rPr>
        <w:t xml:space="preserve">Nota Explicativa 3: </w:t>
      </w:r>
      <w:r w:rsidRPr="16C22A4B">
        <w:rPr>
          <w:i/>
          <w:iCs/>
        </w:rPr>
        <w:t xml:space="preserve">No </w:t>
      </w:r>
      <w:hyperlink r:id="rId41" w:anchor="art96§3">
        <w:r w:rsidRPr="16C22A4B">
          <w:rPr>
            <w:rStyle w:val="Hyperlink"/>
            <w:i/>
            <w:iCs/>
          </w:rPr>
          <w:t>art. 96, §3º, da Lei nº 14.133, de 2021</w:t>
        </w:r>
      </w:hyperlink>
      <w:r w:rsidRPr="16C22A4B">
        <w:rPr>
          <w:i/>
          <w:iCs/>
        </w:rPr>
        <w:t>, há previsão apenas do prazo para apresentação da garantia na modalidade seguro-garantia, em contratações precedidas de licitações, caso em que o prazo deverá ser contado da homologação da licitação. Nas demais modalidades, deverá a Administração prever o prazo e o termo início de sua contagem para a apresentação da garantia. Como o seguro-garantia, nos termos da lei, teria de ser pré-contratual, esta disposição deve estar contida neste documento igualmente pré-contratual.</w:t>
      </w:r>
    </w:p>
    <w:p w14:paraId="24A62498" w14:textId="7B9399E5" w:rsidR="59CAC803" w:rsidRDefault="59CAC803"/>
    <w:p w14:paraId="7071CACC" w14:textId="178195A1" w:rsidR="59CAC803" w:rsidRDefault="59CAC803"/>
  </w:comment>
  <w:comment w:id="12" w:author="Autor" w:initials="A">
    <w:p w14:paraId="6CC1E3EE" w14:textId="77777777" w:rsidR="0082495D" w:rsidRDefault="0082495D">
      <w:pPr>
        <w:pStyle w:val="Textodecomentrio"/>
      </w:pPr>
      <w:r>
        <w:rPr>
          <w:rStyle w:val="Refdecomentrio"/>
        </w:rPr>
        <w:annotationRef/>
      </w:r>
      <w:r>
        <w:rPr>
          <w:b/>
          <w:bCs/>
          <w:i/>
          <w:iCs/>
          <w:color w:val="000000"/>
        </w:rPr>
        <w:t>Nota Explicativa:</w:t>
      </w:r>
      <w:r>
        <w:rPr>
          <w:i/>
          <w:iCs/>
          <w:color w:val="000000"/>
        </w:rPr>
        <w:t xml:space="preserve"> É assegurado ao licitante o direito de realizar vistoria prévia no local de execução do serviço sempre que o órgão ou entidade contratante considerar essa avaliação imprescindível para o conhecimento pleno das condições e peculiaridades do objeto a ser contratado (</w:t>
      </w:r>
      <w:hyperlink r:id="rId42" w:anchor="art63§2" w:history="1">
        <w:r w:rsidRPr="001C01BF">
          <w:rPr>
            <w:rStyle w:val="Hyperlink"/>
            <w:i/>
            <w:iCs/>
          </w:rPr>
          <w:t>art. 63, § 2º, da Lei nº 14.133, de 2021</w:t>
        </w:r>
      </w:hyperlink>
      <w:r>
        <w:rPr>
          <w:i/>
          <w:iCs/>
          <w:color w:val="000000"/>
        </w:rPr>
        <w:t>). Ainda assim, segundo o texto legal, o contratado poderá optar por não realizar a vistoria, caso em que terá de atestar o conhecimento pleno das condições e peculiaridades da contratação, mediante declaração formal do seu responsável técnico (art. 63, §3º).</w:t>
      </w:r>
    </w:p>
    <w:p w14:paraId="655221D0" w14:textId="77777777" w:rsidR="0082495D" w:rsidRDefault="0082495D">
      <w:pPr>
        <w:pStyle w:val="Textodecomentrio"/>
      </w:pPr>
      <w:r>
        <w:rPr>
          <w:i/>
          <w:iCs/>
          <w:color w:val="000000"/>
        </w:rPr>
        <w:t>Nesse contexto, uma vez facultada a realização da vistoria prévia no Termo de Referência, os interessados terão três opções para cumprir o requisito de habilitação correspondente, conforme §§2º e 3º do art. 63, da Lei nº 14.133, de 2021, a saber:</w:t>
      </w:r>
    </w:p>
    <w:p w14:paraId="1AE80840" w14:textId="77777777" w:rsidR="0082495D" w:rsidRDefault="0082495D">
      <w:pPr>
        <w:pStyle w:val="Textodecomentrio"/>
      </w:pPr>
      <w:r>
        <w:rPr>
          <w:i/>
          <w:iCs/>
          <w:color w:val="000000"/>
        </w:rPr>
        <w:t xml:space="preserve">a) realizar a vistoria e atestar que conhece o local e as condições da realização da obra ou serviço; </w:t>
      </w:r>
    </w:p>
    <w:p w14:paraId="52913100" w14:textId="77777777" w:rsidR="0082495D" w:rsidRDefault="0082495D">
      <w:pPr>
        <w:pStyle w:val="Textodecomentrio"/>
      </w:pPr>
      <w:r>
        <w:rPr>
          <w:i/>
          <w:iCs/>
          <w:color w:val="000000"/>
        </w:rPr>
        <w:t xml:space="preserve">b) atestar que conhece o local e as condições da realização da obra ou serviço; </w:t>
      </w:r>
    </w:p>
    <w:p w14:paraId="2711BE38" w14:textId="77777777" w:rsidR="0082495D" w:rsidRDefault="0082495D">
      <w:pPr>
        <w:pStyle w:val="Textodecomentrio"/>
      </w:pPr>
      <w:r>
        <w:rPr>
          <w:i/>
          <w:iCs/>
          <w:color w:val="000000"/>
        </w:rPr>
        <w:t xml:space="preserve">c) declarar formalmente, por meio do respectivo responsável técnico, que possui conhecimento pleno das condições e peculiaridades da contratação. </w:t>
      </w:r>
    </w:p>
    <w:p w14:paraId="6EBB2F6D" w14:textId="77777777" w:rsidR="0082495D" w:rsidRDefault="0082495D">
      <w:pPr>
        <w:pStyle w:val="Textodecomentrio"/>
      </w:pPr>
      <w:r>
        <w:rPr>
          <w:i/>
          <w:iCs/>
          <w:color w:val="000000"/>
        </w:rPr>
        <w:t xml:space="preserve">A hipótese “a” dispensa maiores comentários, a não ser o de que é o próprio licitante que atesta conhecer o local e as condições, e não a Administração que tem o ônus de emitir o atestado de vistoria, como se passa no âmbito da </w:t>
      </w:r>
      <w:hyperlink r:id="rId43" w:history="1">
        <w:r w:rsidRPr="001C01BF">
          <w:rPr>
            <w:rStyle w:val="Hyperlink"/>
            <w:i/>
            <w:iCs/>
          </w:rPr>
          <w:t>Lei nº 8.666, de 1993</w:t>
        </w:r>
      </w:hyperlink>
      <w:r>
        <w:rPr>
          <w:i/>
          <w:iCs/>
          <w:color w:val="000000"/>
        </w:rPr>
        <w:t>.</w:t>
      </w:r>
    </w:p>
    <w:p w14:paraId="1E175492" w14:textId="77777777" w:rsidR="0082495D" w:rsidRDefault="0082495D">
      <w:pPr>
        <w:pStyle w:val="Textodecomentrio"/>
      </w:pPr>
      <w:r>
        <w:rPr>
          <w:i/>
          <w:iCs/>
          <w:color w:val="000000"/>
        </w:rPr>
        <w:t xml:space="preserve">Já na hipótese “b”, o licitante não necessariamente realiza a vistoria facultada na licitação, mas, da mesma forma, atesta que conhece o local da obra ou serviço, além das respectivas condições de execução, pressupondo-se que já tenha comparecido anteriormente ao local para poder emitir a declaração sem incorrer em falsidade ideológica. Isso pode ocorrer sobretudo quando se trata de empresa que já prestou serviços no mesmo local ou já realizou vistoria em outra oportunidade. </w:t>
      </w:r>
    </w:p>
    <w:p w14:paraId="00143524" w14:textId="77777777" w:rsidR="0082495D" w:rsidRDefault="0082495D">
      <w:pPr>
        <w:pStyle w:val="Textodecomentrio"/>
      </w:pPr>
      <w:r>
        <w:rPr>
          <w:i/>
          <w:iCs/>
          <w:color w:val="000000"/>
        </w:rPr>
        <w:t>Por fim, na hipótese “c”, não se declara que conhece o local, e sim as condições e peculiaridades da contratação em sua plenitude. Por isso que, em contrapartida, a declaração deve ser firmada pelo responsável técnico, que poderá chegar a esse conhecimento com base nas disposições do edital e anexos, somada à sua experiência profissional, que lhe permite emitir a declaração sem conhecer o local e sem incorrer em falsidade.</w:t>
      </w:r>
    </w:p>
    <w:p w14:paraId="2247603A" w14:textId="77777777" w:rsidR="0082495D" w:rsidRDefault="0082495D">
      <w:pPr>
        <w:pStyle w:val="Textodecomentrio"/>
      </w:pPr>
      <w:r>
        <w:rPr>
          <w:i/>
          <w:iCs/>
          <w:color w:val="000000"/>
        </w:rPr>
        <w:t xml:space="preserve">Contudo, caso não se verifique a exigência legal de que a empresa a ser contratada possua um responsável técnico - assim considerado o profissional habilitado, na forma da lei, para conduzir, orientar e se responsabilizar por todas as atividades e serviços a serem exercidos pela empresa -, a declaração formal de que trata o § 3º do art. 63, da Lei n.º 14.133, de 2021, deverá ser firmada pelo responsável legal da empresa ou por pessoa por ele indicada, que possua condições técnicas de se responsabilizar pela execução dos serviços a serem contratados. </w:t>
      </w:r>
    </w:p>
    <w:p w14:paraId="62ACE3FE" w14:textId="77777777" w:rsidR="0082495D" w:rsidRDefault="0082495D" w:rsidP="007E253C">
      <w:pPr>
        <w:pStyle w:val="Textodecomentrio"/>
      </w:pPr>
      <w:r>
        <w:rPr>
          <w:i/>
          <w:iCs/>
          <w:color w:val="000000"/>
        </w:rPr>
        <w:t>Recomenda-se que a previsão de vistoria seja adotada de forma motivada, já que aumenta os custos transacionais dos interessados, devendo, sempre que possível, ser substituída pela apresentação de fotografias, plantas, desenhos técnicos e congêneres relativos ao local de execução do serviço.</w:t>
      </w:r>
    </w:p>
  </w:comment>
  <w:comment w:id="13" w:author="Autor" w:initials="A">
    <w:p w14:paraId="26B86719" w14:textId="77777777" w:rsidR="0082495D" w:rsidRDefault="0082495D" w:rsidP="007E253C">
      <w:pPr>
        <w:pStyle w:val="Textodecomentrio"/>
      </w:pPr>
      <w:r>
        <w:rPr>
          <w:rStyle w:val="Refdecomentrio"/>
        </w:rPr>
        <w:annotationRef/>
      </w:r>
      <w:r>
        <w:rPr>
          <w:b/>
          <w:bCs/>
          <w:i/>
          <w:iCs/>
          <w:color w:val="000000"/>
        </w:rPr>
        <w:t xml:space="preserve">Nota Explicativa: </w:t>
      </w:r>
      <w:r>
        <w:rPr>
          <w:i/>
          <w:iCs/>
          <w:color w:val="000000"/>
        </w:rPr>
        <w:t xml:space="preserve">O </w:t>
      </w:r>
      <w:hyperlink r:id="rId44" w:history="1">
        <w:r w:rsidRPr="009E6B50">
          <w:rPr>
            <w:rStyle w:val="Hyperlink"/>
            <w:i/>
            <w:iCs/>
          </w:rPr>
          <w:t>Decreto n.º 10.977, de 23 de fevereiro de 2022</w:t>
        </w:r>
      </w:hyperlink>
      <w:r>
        <w:rPr>
          <w:i/>
          <w:iCs/>
          <w:color w:val="000000"/>
        </w:rPr>
        <w:t xml:space="preserve">, que regulamenta </w:t>
      </w:r>
      <w:hyperlink r:id="rId45" w:history="1">
        <w:r w:rsidRPr="009E6B50">
          <w:rPr>
            <w:rStyle w:val="Hyperlink"/>
            <w:i/>
            <w:iCs/>
          </w:rPr>
          <w:t>a Lei nº 7.116, de 29 de agosto de 1983</w:t>
        </w:r>
      </w:hyperlink>
      <w:r>
        <w:rPr>
          <w:i/>
          <w:iCs/>
          <w:color w:val="000000"/>
        </w:rPr>
        <w:t xml:space="preserve">, para estabelecer os procedimentos e os requisitos para a expedição da Carteira de Identidade por órgãos de identificação dos Estados e do Distrito Federal, e </w:t>
      </w:r>
      <w:hyperlink r:id="rId46" w:history="1">
        <w:r w:rsidRPr="009E6B50">
          <w:rPr>
            <w:rStyle w:val="Hyperlink"/>
            <w:i/>
            <w:iCs/>
          </w:rPr>
          <w:t>a Lei nº 9.454, de 7 de abril de 1997</w:t>
        </w:r>
      </w:hyperlink>
      <w:r>
        <w:rPr>
          <w:i/>
          <w:iCs/>
          <w:color w:val="000000"/>
        </w:rPr>
        <w:t>, para estabelecer o Serviço de Identificação do Cidadão como o Sistema Nacional de Registro de Identificação Civil. Em seu art. 3º, o Decreto estabelece que a Carteira de Identidade adota o número de inscrição no Cadastro de Pessoas Físicas - CPF como registro geral nacional previsto no inciso IV do caput do art. 11.</w:t>
      </w:r>
    </w:p>
  </w:comment>
  <w:comment w:id="14" w:author="Autor" w:initials="A">
    <w:p w14:paraId="4C7762F3" w14:textId="77777777" w:rsidR="0082495D" w:rsidRDefault="0082495D" w:rsidP="007E253C">
      <w:pPr>
        <w:pStyle w:val="Textodecomentrio"/>
      </w:pPr>
      <w:r>
        <w:rPr>
          <w:rStyle w:val="Refdecomentrio"/>
        </w:rPr>
        <w:annotationRef/>
      </w:r>
      <w:r>
        <w:rPr>
          <w:b/>
          <w:bCs/>
          <w:i/>
          <w:iCs/>
          <w:color w:val="000000"/>
        </w:rPr>
        <w:t>Nota explicativa</w:t>
      </w:r>
      <w:r>
        <w:rPr>
          <w:i/>
          <w:iCs/>
          <w:color w:val="000000"/>
        </w:rPr>
        <w:t>: Este item deve ser adaptado de acordo com as necessidades específicas do órgão ou entidade, apresentando-se, este modelo, de forma meramente exemplificativa.</w:t>
      </w:r>
    </w:p>
  </w:comment>
  <w:comment w:id="15" w:author="Autor" w:initials="A">
    <w:p w14:paraId="0F4BB061"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Recomenda-se que seja inserida data de início e data de fim de cada etapa para que fique clara a ocorrência de eventuais atrasos.</w:t>
      </w:r>
    </w:p>
    <w:p w14:paraId="65BA388D" w14:textId="77777777" w:rsidR="0082495D" w:rsidRDefault="0082495D">
      <w:pPr>
        <w:pStyle w:val="Textodecomentrio"/>
      </w:pPr>
      <w:r>
        <w:rPr>
          <w:b/>
          <w:bCs/>
          <w:i/>
          <w:iCs/>
          <w:color w:val="000000"/>
        </w:rPr>
        <w:t>Nota Explicativa 2:</w:t>
      </w:r>
      <w:r>
        <w:rPr>
          <w:i/>
          <w:iCs/>
          <w:color w:val="000000"/>
        </w:rPr>
        <w:t xml:space="preserve"> Estas previsões são meramente ilustrativas. Havendo a necessidade de alteração ou inclusão de dados para cada etapa, os subitens devem ser alterados.</w:t>
      </w:r>
    </w:p>
    <w:p w14:paraId="2F25B972" w14:textId="77777777" w:rsidR="0082495D" w:rsidRDefault="0082495D" w:rsidP="007E253C">
      <w:pPr>
        <w:pStyle w:val="Textodecomentrio"/>
      </w:pPr>
      <w:r>
        <w:rPr>
          <w:b/>
          <w:bCs/>
          <w:i/>
          <w:iCs/>
        </w:rPr>
        <w:t xml:space="preserve">Nota Explicativa 3: </w:t>
      </w:r>
      <w:r>
        <w:rPr>
          <w:i/>
          <w:iCs/>
        </w:rPr>
        <w:t>Havendo a necessidade de especificar as rotinas de trabalho, recomenda-se trazê-las em item específico, sem prejuízo da possibilidade de incluir um anexo com caderno de encargos, especificações técnicas ou documento análogo em que a forma de trabalho esperada do contratado (para além do já previsto neste instrumento) conste de forma mais detalhada.</w:t>
      </w:r>
    </w:p>
  </w:comment>
  <w:comment w:id="16" w:author="Autor" w:initials="A">
    <w:p w14:paraId="07186567" w14:textId="77777777" w:rsidR="0082495D" w:rsidRDefault="0082495D" w:rsidP="007E253C">
      <w:pPr>
        <w:pStyle w:val="Textodecomentrio"/>
      </w:pPr>
      <w:r>
        <w:rPr>
          <w:rStyle w:val="Refdecomentrio"/>
        </w:rPr>
        <w:annotationRef/>
      </w:r>
      <w:r>
        <w:rPr>
          <w:b/>
          <w:bCs/>
          <w:i/>
          <w:iCs/>
          <w:color w:val="000000"/>
        </w:rPr>
        <w:t xml:space="preserve">Nota Explicativa: </w:t>
      </w:r>
      <w:r>
        <w:rPr>
          <w:i/>
          <w:iCs/>
          <w:color w:val="000000"/>
        </w:rPr>
        <w:t>Caso haja mais de um endereço, deve-se especificar. Do mesmo modo, se os endereços se modificarem conforme cada etapa/fase do serviço. Ademais, se houver a necessidade de previamente se acordar a data ou hora de prestação do serviço com o competente, deve-se especificar essa obrigação.</w:t>
      </w:r>
    </w:p>
  </w:comment>
  <w:comment w:id="17" w:author="Autor" w:initials="A">
    <w:p w14:paraId="5B45150B" w14:textId="77777777" w:rsidR="0082495D" w:rsidRDefault="0082495D" w:rsidP="007E253C">
      <w:pPr>
        <w:pStyle w:val="Textodecomentrio"/>
      </w:pPr>
      <w:r>
        <w:rPr>
          <w:rStyle w:val="Refdecomentrio"/>
        </w:rPr>
        <w:annotationRef/>
      </w:r>
      <w:r>
        <w:rPr>
          <w:b/>
          <w:bCs/>
          <w:i/>
          <w:iCs/>
          <w:color w:val="000000"/>
        </w:rPr>
        <w:t>Nota Explicativa:</w:t>
      </w:r>
      <w:r>
        <w:rPr>
          <w:i/>
          <w:iCs/>
          <w:color w:val="000000"/>
        </w:rPr>
        <w:t xml:space="preserve"> O CATMAT disponibiliza especificações técnicas de materiais com menor impacto ambiental (CATMAT Sustentável).</w:t>
      </w:r>
    </w:p>
  </w:comment>
  <w:comment w:id="18" w:author="Autor" w:initials="A">
    <w:p w14:paraId="64844ECC" w14:textId="77777777" w:rsidR="0082495D" w:rsidRDefault="0082495D" w:rsidP="007E253C">
      <w:pPr>
        <w:pStyle w:val="Textodecomentrio"/>
      </w:pPr>
      <w:r>
        <w:rPr>
          <w:rStyle w:val="Refdecomentrio"/>
        </w:rPr>
        <w:annotationRef/>
      </w:r>
      <w:r>
        <w:rPr>
          <w:b/>
          <w:bCs/>
          <w:i/>
          <w:iCs/>
          <w:color w:val="000000"/>
        </w:rPr>
        <w:t>Nota explicativa:</w:t>
      </w:r>
      <w:r>
        <w:rPr>
          <w:i/>
          <w:iCs/>
          <w:color w:val="000000"/>
        </w:rPr>
        <w:t xml:space="preserve"> Vale lembrar que sem o conhecimento preciso das particularidades e das necessidades do órgão, o contratado terá dificuldade para dimensionar perfeitamente sua proposta, o que poderá acarretar sérios problemas futuros na execução contratual.</w:t>
      </w:r>
    </w:p>
  </w:comment>
  <w:comment w:id="19" w:author="Autor" w:initials="A">
    <w:p w14:paraId="61F42CA8" w14:textId="066F84D5" w:rsidR="0082495D" w:rsidRDefault="16C22A4B" w:rsidP="16C22A4B">
      <w:r w:rsidRPr="16C22A4B">
        <w:rPr>
          <w:b/>
          <w:bCs/>
          <w:i/>
          <w:iCs/>
          <w:color w:val="000000" w:themeColor="text1"/>
        </w:rPr>
        <w:t>Nota Explicativa 1:</w:t>
      </w:r>
      <w:r w:rsidRPr="16C22A4B">
        <w:rPr>
          <w:i/>
          <w:iCs/>
          <w:color w:val="000000" w:themeColor="text1"/>
        </w:rPr>
        <w:t xml:space="preserve"> Fica a critério da Administração exigir - ou não - a garantia contratual do serviço ou bens empregados em sua execução, de forma complementar à garantia legal, o que pode ser feito mediante a devida fundamentação, a ser exposta neste item do Termo de Referência. Não a exigindo, deverá suprimir o item. </w:t>
      </w:r>
      <w:r w:rsidR="0082495D">
        <w:annotationRef/>
      </w:r>
    </w:p>
    <w:p w14:paraId="3AB62A48" w14:textId="1AE94EE9" w:rsidR="0082495D" w:rsidRDefault="0082495D" w:rsidP="16C22A4B"/>
    <w:p w14:paraId="0AEC50A4" w14:textId="1909CE0B" w:rsidR="0082495D" w:rsidRDefault="16C22A4B" w:rsidP="16C22A4B">
      <w:r w:rsidRPr="16C22A4B">
        <w:rPr>
          <w:b/>
          <w:bCs/>
          <w:i/>
          <w:iCs/>
          <w:color w:val="000000" w:themeColor="text1"/>
        </w:rPr>
        <w:t>Nota Explicativa 2</w:t>
      </w:r>
      <w:r w:rsidRPr="16C22A4B">
        <w:rPr>
          <w:i/>
          <w:iCs/>
          <w:color w:val="000000" w:themeColor="text1"/>
        </w:rPr>
        <w:t xml:space="preserve">: O </w:t>
      </w:r>
      <w:hyperlink r:id="rId47" w:anchor="art9">
        <w:r w:rsidRPr="16C22A4B">
          <w:rPr>
            <w:rStyle w:val="Hyperlink"/>
            <w:i/>
            <w:iCs/>
          </w:rPr>
          <w:t>artigo 9º, inciso alínea “d” da IN Seges/ME nº 81 de 2022</w:t>
        </w:r>
      </w:hyperlink>
      <w:r w:rsidRPr="16C22A4B">
        <w:rPr>
          <w:i/>
          <w:iCs/>
        </w:rPr>
        <w:t xml:space="preserve"> ex</w:t>
      </w:r>
      <w:r w:rsidRPr="16C22A4B">
        <w:rPr>
          <w:i/>
          <w:iCs/>
          <w:color w:val="000000" w:themeColor="text1"/>
        </w:rPr>
        <w:t>ige que a inserção no TR Digital da especificação da garantia exigida e das condições de manutenção e assistência técnica, quando for o caso.</w:t>
      </w:r>
    </w:p>
    <w:p w14:paraId="04D2726A" w14:textId="31071F66" w:rsidR="0082495D" w:rsidRDefault="0082495D" w:rsidP="16C22A4B"/>
    <w:p w14:paraId="26C1822E" w14:textId="53E30BF8" w:rsidR="0082495D" w:rsidRDefault="16C22A4B" w:rsidP="16C22A4B">
      <w:r w:rsidRPr="16C22A4B">
        <w:rPr>
          <w:b/>
          <w:bCs/>
          <w:i/>
          <w:iCs/>
          <w:color w:val="000000" w:themeColor="text1"/>
        </w:rPr>
        <w:t>Nota Explicativa 3:</w:t>
      </w:r>
      <w:r w:rsidRPr="16C22A4B">
        <w:rPr>
          <w:b/>
          <w:bCs/>
          <w:i/>
          <w:iCs/>
        </w:rPr>
        <w:t xml:space="preserve"> </w:t>
      </w:r>
      <w:r w:rsidRPr="16C22A4B">
        <w:rPr>
          <w:i/>
          <w:iCs/>
        </w:rPr>
        <w:t>A exigência de garantia, bem como o prazo previsto devem ser justificados nos autos.</w:t>
      </w:r>
    </w:p>
  </w:comment>
  <w:comment w:id="20" w:author="Autor" w:initials="A">
    <w:p w14:paraId="1A6D9CDF" w14:textId="71B5CB34" w:rsidR="16C22A4B" w:rsidRDefault="16C22A4B">
      <w:r w:rsidRPr="16C22A4B">
        <w:rPr>
          <w:b/>
          <w:bCs/>
          <w:i/>
          <w:iCs/>
        </w:rPr>
        <w:t xml:space="preserve">Nota Explicativa: </w:t>
      </w:r>
      <w:r w:rsidRPr="16C22A4B">
        <w:rPr>
          <w:i/>
          <w:iCs/>
        </w:rPr>
        <w:t>Caso exigido, o Contratado deverá realizar a transição contratual com transferência de conhecimento, tecnologia e técnicas empregadas, sem perda de informações, podendo exigir, inclusive, a capacitação dos técnicos do contratante ou da nova empresa que continuará a execução dos serviços. Deve a Administração especificar essas exigências.</w:t>
      </w:r>
      <w:r>
        <w:annotationRef/>
      </w:r>
    </w:p>
  </w:comment>
  <w:comment w:id="21" w:author="Autor" w:initials="A">
    <w:p w14:paraId="2C379C7C" w14:textId="523DB622" w:rsidR="0082495D" w:rsidRDefault="59CAC803">
      <w:r w:rsidRPr="59CAC803">
        <w:rPr>
          <w:b/>
          <w:bCs/>
          <w:i/>
          <w:iCs/>
        </w:rPr>
        <w:t>Nota Explicativa</w:t>
      </w:r>
      <w:r>
        <w:t xml:space="preserve">: </w:t>
      </w:r>
      <w:r w:rsidRPr="59CAC803">
        <w:rPr>
          <w:i/>
          <w:iCs/>
        </w:rPr>
        <w:t xml:space="preserve">Embora a </w:t>
      </w:r>
      <w:r>
        <w:t>INSTRUÇÃO NORMATIVA SEGES/ME Nº 98/2022 tenha autorizado a aplicação da IN05/2017, no que couber, é certo que a edição do Decreto nº 11.246/2022 regulamentou o tema sem distinção quanto ao tipo de contratação, devendo a regra do TR se compatibilizar aos limites do referido Decreto.</w:t>
      </w:r>
      <w:r w:rsidR="0082495D">
        <w:annotationRef/>
      </w:r>
      <w:r w:rsidR="0082495D">
        <w:annotationRef/>
      </w:r>
    </w:p>
  </w:comment>
  <w:comment w:id="22" w:author="Autor" w:initials="A">
    <w:p w14:paraId="092F87CA" w14:textId="6C3A0B1A" w:rsidR="0082495D" w:rsidRDefault="0082495D">
      <w:r w:rsidRPr="21D57103">
        <w:rPr>
          <w:b/>
          <w:bCs/>
          <w:i/>
          <w:iCs/>
        </w:rPr>
        <w:t>Nota Explicativa</w:t>
      </w:r>
      <w:r w:rsidRPr="21D57103">
        <w:rPr>
          <w:i/>
          <w:iCs/>
        </w:rPr>
        <w:t>: A opção do órgão ou entidade pela exigência de manutenção do preposto da empresa no local da execução do objeto deverá ser previamente justificada, considerando a natureza dos serviços prestados.</w:t>
      </w:r>
      <w:r>
        <w:annotationRef/>
      </w:r>
    </w:p>
  </w:comment>
  <w:comment w:id="23" w:author="Autor" w:initials="A">
    <w:p w14:paraId="18A5D9E3" w14:textId="77777777" w:rsidR="0082495D" w:rsidRDefault="0082495D">
      <w:pPr>
        <w:pStyle w:val="Textodecomentrio"/>
      </w:pPr>
      <w:r>
        <w:rPr>
          <w:rStyle w:val="Refdecomentrio"/>
        </w:rPr>
        <w:annotationRef/>
      </w:r>
      <w:r>
        <w:rPr>
          <w:b/>
          <w:bCs/>
          <w:i/>
          <w:iCs/>
          <w:color w:val="000000"/>
        </w:rPr>
        <w:t xml:space="preserve">Nota Explicativa: </w:t>
      </w:r>
      <w:r>
        <w:rPr>
          <w:i/>
          <w:iCs/>
          <w:color w:val="000000"/>
        </w:rPr>
        <w:t>A execução dos contratos de prestação de serviços se submete a um conjunto de ações que compõem as ati</w:t>
      </w:r>
      <w:r>
        <w:rPr>
          <w:i/>
          <w:iCs/>
        </w:rPr>
        <w:t xml:space="preserve">vidades de gestão e fiscalização contratuais. Nesse sentido, </w:t>
      </w:r>
      <w:hyperlink r:id="rId48" w:anchor="art19" w:history="1">
        <w:r w:rsidRPr="0074452B">
          <w:rPr>
            <w:rStyle w:val="Hyperlink"/>
            <w:i/>
            <w:iCs/>
          </w:rPr>
          <w:t>o art. 19 do Decreto nº 11.246, de 2022</w:t>
        </w:r>
      </w:hyperlink>
      <w:r>
        <w:rPr>
          <w:i/>
          <w:iCs/>
        </w:rPr>
        <w:t>, estabele</w:t>
      </w:r>
      <w:r>
        <w:rPr>
          <w:i/>
          <w:iCs/>
          <w:color w:val="000000"/>
        </w:rPr>
        <w:t>ce que:</w:t>
      </w:r>
    </w:p>
    <w:p w14:paraId="2DA4A871" w14:textId="77777777" w:rsidR="0082495D" w:rsidRDefault="0082495D">
      <w:pPr>
        <w:pStyle w:val="Textodecomentrio"/>
      </w:pPr>
      <w:r>
        <w:rPr>
          <w:i/>
          <w:iCs/>
          <w:color w:val="000000"/>
        </w:rPr>
        <w:t>Art. 19. As atividades de gestão e fiscalização do contrato serão realizadas de acordo com as seguintes disposições:</w:t>
      </w:r>
    </w:p>
    <w:p w14:paraId="20DEBBC3" w14:textId="77777777" w:rsidR="0082495D" w:rsidRDefault="0082495D">
      <w:pPr>
        <w:pStyle w:val="Textodecomentrio"/>
      </w:pPr>
      <w:r>
        <w:rPr>
          <w:i/>
          <w:iCs/>
          <w:color w:val="000000"/>
        </w:rPr>
        <w:t>(...)</w:t>
      </w:r>
    </w:p>
    <w:p w14:paraId="1BD5F0F9" w14:textId="77777777" w:rsidR="0082495D" w:rsidRDefault="0082495D">
      <w:pPr>
        <w:pStyle w:val="Textodecomentrio"/>
      </w:pPr>
      <w:r>
        <w:rPr>
          <w:i/>
          <w:iCs/>
          <w:color w:val="000000"/>
        </w:rPr>
        <w:t xml:space="preserve">II - </w:t>
      </w:r>
      <w:proofErr w:type="gramStart"/>
      <w:r>
        <w:rPr>
          <w:i/>
          <w:iCs/>
          <w:color w:val="000000"/>
        </w:rPr>
        <w:t>fiscalização</w:t>
      </w:r>
      <w:proofErr w:type="gramEnd"/>
      <w:r>
        <w:rPr>
          <w:i/>
          <w:iCs/>
          <w:color w:val="000000"/>
        </w:rPr>
        <w:t xml:space="preserve"> técnica: é o acompanhamento do contrato com o objetivo de avaliar a execução do objeto nos moldes contratados e, se for o caso, aferir se a quantidade, qualidade, tempo e modo da prestação ou execução do objeto estão compatíveis com os </w:t>
      </w:r>
      <w:r>
        <w:rPr>
          <w:b/>
          <w:bCs/>
          <w:i/>
          <w:iCs/>
          <w:color w:val="000000"/>
        </w:rPr>
        <w:t>indicadores estipulados no edital</w:t>
      </w:r>
      <w:r>
        <w:rPr>
          <w:i/>
          <w:iCs/>
          <w:color w:val="000000"/>
        </w:rPr>
        <w:t>, para efeito de pagamento conforme o resultado pretendido pela Administração, podendo ser auxiliado pela fiscalização administrativa;</w:t>
      </w:r>
    </w:p>
    <w:p w14:paraId="798A3EB8" w14:textId="77777777" w:rsidR="0082495D" w:rsidRDefault="0082495D">
      <w:pPr>
        <w:pStyle w:val="Textodecomentrio"/>
      </w:pPr>
      <w:r>
        <w:rPr>
          <w:i/>
          <w:iCs/>
          <w:color w:val="000000"/>
        </w:rPr>
        <w:t>(...)</w:t>
      </w:r>
    </w:p>
    <w:p w14:paraId="479516DF" w14:textId="77777777" w:rsidR="0082495D" w:rsidRDefault="0082495D">
      <w:pPr>
        <w:pStyle w:val="Textodecomentrio"/>
      </w:pPr>
      <w:r>
        <w:rPr>
          <w:i/>
          <w:iCs/>
          <w:color w:val="000000"/>
        </w:rPr>
        <w:t>O referido normativo não trouxe qualquer parâmetro para mensuração dos resultados para o pagamento das contratadas, limitando-se a estabelecer no seu art. 21 que ao fiscal técnico competirá “- fiscalizar a execução do contrato, para que sejam cumpridas todas as condições estabelecidas no contrato, de modo a assegurar os melhores resultados para a Administração” (inciso VI)</w:t>
      </w:r>
    </w:p>
    <w:p w14:paraId="560C693C" w14:textId="77777777" w:rsidR="0082495D" w:rsidRDefault="0082495D" w:rsidP="007E253C">
      <w:pPr>
        <w:pStyle w:val="Textodecomentrio"/>
      </w:pPr>
      <w:r>
        <w:rPr>
          <w:i/>
          <w:iCs/>
          <w:color w:val="000000"/>
        </w:rPr>
        <w:t xml:space="preserve">Neste sentido, nas contratações de prestação de serviços, a Administração deve adotar, sempre que possível, unidade de medida que permita a mensuração dos resultados para o pagamento da contratada. Nessas contratações, a mensuração e o pagamento vinculados aos resultados entregues pela contratada são amparados “no princípio constitucional explícito da eficiência, bem como no princípio implícito da economicidade, e, ainda, segundo os princípios da legalidade e da moralidade dos gastos públicos” (TCU, Acórdão nº 1.215/2009, Plenário). Ou seja, é necessário um instrumento que permita definir bases objetivas a serem aplicadas no controle da qualidade do objeto executado, permitindo à Administração, também com base em previsão expressa nesse instrumento, promover as adequações de pagamento devidas no caso de não se verificar o atendimento das metas estabelecidas. Assim, vale sugerir a inclusão como boa prática administrativa como, o modelo trazido pela </w:t>
      </w:r>
      <w:hyperlink r:id="rId49" w:history="1">
        <w:r w:rsidRPr="0074452B">
          <w:rPr>
            <w:rStyle w:val="Hyperlink"/>
            <w:i/>
            <w:iCs/>
          </w:rPr>
          <w:t>Instrução Normativa nº 05/2017</w:t>
        </w:r>
      </w:hyperlink>
      <w:r>
        <w:rPr>
          <w:i/>
          <w:iCs/>
          <w:color w:val="000000"/>
        </w:rPr>
        <w:t xml:space="preserve"> e que foi elaborado conforme as diretrizes para a construção de um novo modelo de contratação de prestação de serviço estabelecidas no Acórdão nº 786/2006 – Plenário. Neste sentido, Anexo I da referida instrução normativa definiu “INSTRUMENTO DE MEDIÇÃO DE RESULTADO (IMR): mecanismo que define, em bases compreensíveis, tangíveis, objetivamente observáveis e comprováveis, os níveis esperados de qualidade da prestação do serviço e respectivas adequações de pagamento”.</w:t>
      </w:r>
    </w:p>
  </w:comment>
  <w:comment w:id="24" w:author="Autor" w:initials="A">
    <w:p w14:paraId="47FF30F5"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A execução dos contratos deve ser acompanhada por meio de instrumentos de controle que permitam a mensuração de resultados e adequação do objeto prestado. Diante da falta de regulamentação à luz da Lei nº 14.133, de 2021, optou-se por adotar aqui as regras da </w:t>
      </w:r>
      <w:hyperlink r:id="rId50" w:history="1">
        <w:r w:rsidRPr="00F338B8">
          <w:rPr>
            <w:rStyle w:val="Hyperlink"/>
            <w:i/>
            <w:iCs/>
          </w:rPr>
          <w:t>Instrução Normativa SEGES/MPDG nº 5, de 26 de maio de 2017</w:t>
        </w:r>
      </w:hyperlink>
      <w:r>
        <w:rPr>
          <w:i/>
          <w:iCs/>
          <w:color w:val="000000"/>
        </w:rPr>
        <w:t xml:space="preserve"> como referência de boas práticas. Estes instrumentos de controle, o Instrumento de Medição de Resultado (IMR) ou instrumento equivalente, foram idealizados, inicialmente, para contratos de prestação de serviços como mecanismo de monitoramento e mensuração da qualidade e pontualidade na prestação dos serviços e, consequentemente, como forma de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consequentemente, o montante devido em pagamento. Sem o devido estabelecimento dos critérios e parâmetros de avaliação dos itens previstos no artigo, a cláusula torna-se inexequível, absolutamente destituída de efeitos. Dessa forma, para que seja possível efetuar a glosa, é necessário definir, objetivamente, quais os parâmetros para mensuração do percentual do pagamento devido em razão dos níveis esperados de qualidade da prestação do serviço.</w:t>
      </w:r>
    </w:p>
    <w:p w14:paraId="24060291" w14:textId="77777777" w:rsidR="0082495D" w:rsidRDefault="0082495D">
      <w:pPr>
        <w:pStyle w:val="Textodecomentrio"/>
      </w:pPr>
      <w:r>
        <w:rPr>
          <w:b/>
          <w:bCs/>
          <w:i/>
          <w:iCs/>
          <w:color w:val="000000"/>
        </w:rPr>
        <w:t>Nota Explicativa 2:</w:t>
      </w:r>
      <w:r>
        <w:rPr>
          <w:i/>
          <w:iCs/>
          <w:color w:val="000000"/>
        </w:rPr>
        <w:t xml:space="preserve"> Caso o órgão não tenha elaborado o IMR, deverá suprimir os trechos em itálico que fazem referência a ele.</w:t>
      </w:r>
    </w:p>
    <w:p w14:paraId="20B64CE8" w14:textId="77777777" w:rsidR="0082495D" w:rsidRDefault="0082495D" w:rsidP="007E253C">
      <w:pPr>
        <w:pStyle w:val="Textodecomentrio"/>
      </w:pPr>
      <w:r>
        <w:rPr>
          <w:b/>
          <w:bCs/>
          <w:i/>
          <w:iCs/>
          <w:color w:val="000000"/>
        </w:rPr>
        <w:t>Nota Explicativa 3:</w:t>
      </w:r>
      <w:r>
        <w:rPr>
          <w:i/>
          <w:iCs/>
          <w:color w:val="000000"/>
        </w:rPr>
        <w:t xml:space="preserve"> Para que seja possível efetuar a glosa, é necessário definir, objetivamente, no IMR ou instrumento equivalente, quais os parâmetros para mensuração do percentual do pagamento devido em razão dos níveis esperados de qualidade da prestação do serviço.</w:t>
      </w:r>
    </w:p>
  </w:comment>
  <w:comment w:id="25" w:author="Autor" w:initials="A">
    <w:p w14:paraId="66AB3C68" w14:textId="77777777" w:rsidR="0082495D" w:rsidRDefault="0082495D">
      <w:pPr>
        <w:pStyle w:val="Textodecomentrio"/>
      </w:pPr>
      <w:r>
        <w:rPr>
          <w:rStyle w:val="Refdecomentrio"/>
        </w:rPr>
        <w:annotationRef/>
      </w:r>
      <w:r>
        <w:rPr>
          <w:b/>
          <w:bCs/>
          <w:i/>
          <w:iCs/>
          <w:color w:val="000000"/>
        </w:rPr>
        <w:t>Nota Explicativa:</w:t>
      </w:r>
      <w:r>
        <w:rPr>
          <w:i/>
          <w:iCs/>
          <w:color w:val="000000"/>
        </w:rPr>
        <w:t xml:space="preserve"> O subitem 2.6, alínea “d” do Anexo V da </w:t>
      </w:r>
      <w:hyperlink r:id="rId51" w:history="1">
        <w:r w:rsidRPr="002913AF">
          <w:rPr>
            <w:rStyle w:val="Hyperlink"/>
            <w:i/>
            <w:iCs/>
          </w:rPr>
          <w:t>Instrução Normativa SEGES/MPDG nº 5, de 26 de maio de 2017</w:t>
        </w:r>
      </w:hyperlink>
      <w:r>
        <w:rPr>
          <w:i/>
          <w:iCs/>
          <w:color w:val="000000"/>
        </w:rPr>
        <w:t xml:space="preserve">, trata de critérios de medição e pagamento que podem ser considerados na formulação desse item. Diante da falta de regulamentação à luz da Lei nº 14.133, de 2021, optou-se por adotar aqui suas regras como referência de boas práticas, até que seja publicada a regulamentação atualizada sobre o tema. </w:t>
      </w:r>
    </w:p>
    <w:p w14:paraId="52395C97" w14:textId="77777777" w:rsidR="0082495D" w:rsidRDefault="0082495D">
      <w:pPr>
        <w:pStyle w:val="Textodecomentrio"/>
      </w:pPr>
      <w:r>
        <w:rPr>
          <w:i/>
          <w:iCs/>
          <w:color w:val="000000"/>
        </w:rPr>
        <w:t xml:space="preserve">Questões a serem vistas são: </w:t>
      </w:r>
    </w:p>
    <w:p w14:paraId="7DA1DB87" w14:textId="77777777" w:rsidR="0082495D" w:rsidRDefault="0082495D">
      <w:pPr>
        <w:pStyle w:val="Textodecomentrio"/>
      </w:pPr>
      <w:r>
        <w:rPr>
          <w:i/>
          <w:iCs/>
          <w:color w:val="000000"/>
        </w:rPr>
        <w:t>a) unidade de medida para faturamento e mensuração do resultado;</w:t>
      </w:r>
    </w:p>
    <w:p w14:paraId="456FBF9B" w14:textId="77777777" w:rsidR="0082495D" w:rsidRDefault="0082495D">
      <w:pPr>
        <w:pStyle w:val="Textodecomentrio"/>
      </w:pPr>
      <w:r>
        <w:rPr>
          <w:i/>
          <w:iCs/>
          <w:color w:val="000000"/>
        </w:rPr>
        <w:t>b) produtividade de referência ou critérios de qualidade para a execução contratual;</w:t>
      </w:r>
    </w:p>
    <w:p w14:paraId="21A6EDE7" w14:textId="77777777" w:rsidR="0082495D" w:rsidRDefault="0082495D" w:rsidP="007E253C">
      <w:pPr>
        <w:pStyle w:val="Textodecomentrio"/>
      </w:pPr>
      <w:r>
        <w:rPr>
          <w:i/>
          <w:iCs/>
          <w:color w:val="000000"/>
        </w:rPr>
        <w:t>c) indicadores mínimos de desempenho para aceitação do serviço ou eventual glosa.</w:t>
      </w:r>
    </w:p>
  </w:comment>
  <w:comment w:id="27" w:author="Autor" w:initials="A">
    <w:p w14:paraId="27463262" w14:textId="77777777" w:rsidR="0082495D" w:rsidRDefault="0082495D" w:rsidP="007E253C">
      <w:pPr>
        <w:pStyle w:val="Textodecomentrio"/>
      </w:pPr>
      <w:r>
        <w:rPr>
          <w:rStyle w:val="Refdecomentrio"/>
        </w:rPr>
        <w:annotationRef/>
      </w:r>
      <w:r>
        <w:rPr>
          <w:b/>
          <w:bCs/>
          <w:i/>
          <w:iCs/>
          <w:color w:val="000000"/>
        </w:rPr>
        <w:t xml:space="preserve">Nota Explicativa: </w:t>
      </w:r>
      <w:r>
        <w:rPr>
          <w:i/>
          <w:iCs/>
          <w:color w:val="000000"/>
        </w:rPr>
        <w:t>Deverá a Administração indicar o índice de preços a ser utilizado para a atualização monetária do valor devido ao contratado.</w:t>
      </w:r>
    </w:p>
  </w:comment>
  <w:comment w:id="28" w:author="Autor" w:initials="A">
    <w:p w14:paraId="1565A6F0" w14:textId="77777777" w:rsidR="0082495D" w:rsidRDefault="0082495D" w:rsidP="007E253C">
      <w:pPr>
        <w:pStyle w:val="Textodecomentrio"/>
      </w:pPr>
      <w:r>
        <w:rPr>
          <w:rStyle w:val="Refdecomentrio"/>
        </w:rPr>
        <w:annotationRef/>
      </w:r>
      <w:r>
        <w:rPr>
          <w:b/>
          <w:bCs/>
          <w:i/>
          <w:iCs/>
          <w:color w:val="000000"/>
        </w:rPr>
        <w:t xml:space="preserve">Nota Explicativa: </w:t>
      </w:r>
      <w:r>
        <w:rPr>
          <w:i/>
          <w:iCs/>
          <w:color w:val="000000"/>
        </w:rPr>
        <w:t>A natureza do contrato e o objeto da contratação irão determinar a retenção tributária eventualmente cabível, bem como a possibilidade de a empresa se beneficiar da condição de optante do Simples Nacional, dentre outras questões de caráter tributário.</w:t>
      </w:r>
      <w:r>
        <w:annotationRef/>
      </w:r>
    </w:p>
  </w:comment>
  <w:comment w:id="29" w:author="Autor" w:initials="A">
    <w:p w14:paraId="273975CF" w14:textId="25F6E2C0" w:rsidR="16C22A4B" w:rsidRDefault="16C22A4B">
      <w:r>
        <w:annotationRef/>
      </w:r>
    </w:p>
    <w:p w14:paraId="3E0ECDC4" w14:textId="181BF8C2" w:rsidR="16C22A4B" w:rsidRDefault="16C22A4B">
      <w:r w:rsidRPr="16C22A4B">
        <w:rPr>
          <w:b/>
          <w:bCs/>
          <w:i/>
          <w:iCs/>
        </w:rPr>
        <w:t>Nota Explicativa 1:</w:t>
      </w:r>
      <w:r>
        <w:t xml:space="preserve"> O regime de execução deve ser sopesado e explicitado pela Administração, em particular em termos de eficiência na gestão contratual. Como regra, exige-se que as características qualitativas e quantitativas do objeto sejam previamente definidas no edital, permitindo-se aos licitantes a elaboração de proposta fundada em dados objetivos e seguros. Quando isso não é possível, ou seja, quando não se sabe ao certo a estimativa precisa dos itens e quantitativos que compõem o objeto a ser contratado, o gestor deve avaliar a melhor forma de execução contratual. 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w:t>
      </w:r>
      <w:r w:rsidRPr="16C22A4B">
        <w:rPr>
          <w:i/>
          <w:iCs/>
        </w:rPr>
        <w:t>art. 47 da Lei nº 8.666, de 1993), para evitar distorções relevantes no decorrer da execução contratual (TCU. Acórdão 1978/2013-Plenário, TC 007.109/2013-0, relator Ministro Valmir Campelo, 31.7.2013).</w:t>
      </w:r>
      <w:r>
        <w:t xml:space="preserve"> Já na empreitada por preço unitário, em que o preço é fixado por unidade determinada,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w:t>
      </w:r>
      <w:r w:rsidRPr="16C22A4B">
        <w:rPr>
          <w:i/>
          <w:iCs/>
        </w:rPr>
        <w:t>unidades” se dará de acordo com a necessidade observada, com a realização de medições periódicas a fim de quantificar os serviços efetivamente executados e os correspondentes valores devidos (TCU. Acórdão 1978/2013-Plenário, TC 007.109/2013-0, relator Ministro Valmir Campelo, 31.7.2013).</w:t>
      </w:r>
      <w:r>
        <w:t xml:space="preserve"> Assim, na empreitada por preço unitário haverá a execução do contrato conforme a demanda, e esse regime de execução foi criado para resolver o problema da necessidade de fixar uma remuneração sem que se tivesse, desde logo, a quantidade exata do encargo a ser executado. A opção da Administração por um ou outro regime não decorre de mera conveniência, mas sim da possibilidade, no caso concreto, de predefinir uma </w:t>
      </w:r>
      <w:r w:rsidRPr="16C22A4B">
        <w:rPr>
          <w:b/>
          <w:bCs/>
        </w:rPr>
        <w:t>estimativa precisa dos itens e respectivos quantitativos que compõem o objeto a ser licitado. Se tal possibilidade existir, a regra é a adoção da empreitada por preço global, normalmente atrelada às obras e serviços de menor complexidade. Do contrário, deve ser adotada a empreitada por preço unitário</w:t>
      </w:r>
    </w:p>
  </w:comment>
  <w:comment w:id="30" w:author="Autor" w:initials="A">
    <w:p w14:paraId="5EE2493C" w14:textId="77777777" w:rsidR="0082495D" w:rsidRDefault="0082495D">
      <w:pPr>
        <w:pStyle w:val="Textodecomentrio"/>
      </w:pPr>
      <w:r>
        <w:rPr>
          <w:rStyle w:val="Refdecomentrio"/>
        </w:rPr>
        <w:annotationRef/>
      </w:r>
      <w:r>
        <w:rPr>
          <w:b/>
          <w:bCs/>
          <w:i/>
          <w:iCs/>
          <w:color w:val="000000"/>
        </w:rPr>
        <w:t xml:space="preserve">Nota Explicativa: </w:t>
      </w:r>
    </w:p>
    <w:p w14:paraId="2A206E8C" w14:textId="77777777" w:rsidR="0082495D" w:rsidRDefault="0082495D">
      <w:pPr>
        <w:pStyle w:val="Textodecomentrio"/>
      </w:pPr>
      <w:r>
        <w:rPr>
          <w:i/>
          <w:iCs/>
          <w:color w:val="000000"/>
        </w:rPr>
        <w:t xml:space="preserve">É fundamental que a Administração observe que exigências demasiadas poderão prejudicar a competitividade da licitação e ofender a o disposto no </w:t>
      </w:r>
      <w:hyperlink r:id="rId52" w:anchor="art37" w:history="1">
        <w:r w:rsidRPr="001C67E0">
          <w:rPr>
            <w:rStyle w:val="Hyperlink"/>
            <w:i/>
            <w:iCs/>
          </w:rPr>
          <w:t>art. 37, inciso XXI da Constituição Federal</w:t>
        </w:r>
      </w:hyperlink>
      <w:r>
        <w:rPr>
          <w:i/>
          <w:iCs/>
          <w:color w:val="000000"/>
        </w:rPr>
        <w:t>, o qual preceitua que “o processo de licitação pública... somente permitirá as exigências de qualificação técnica e econômica indispensáveis à garantia do cumprimento das obrigações”.</w:t>
      </w:r>
    </w:p>
    <w:p w14:paraId="393DABFB" w14:textId="77777777" w:rsidR="0082495D" w:rsidRDefault="0082495D">
      <w:pPr>
        <w:pStyle w:val="Textodecomentrio"/>
      </w:pPr>
      <w:r>
        <w:rPr>
          <w:i/>
          <w:iCs/>
          <w:color w:val="000000"/>
        </w:rPr>
        <w:t xml:space="preserve">O </w:t>
      </w:r>
      <w:hyperlink r:id="rId53" w:history="1">
        <w:r w:rsidRPr="001C67E0">
          <w:rPr>
            <w:rStyle w:val="Hyperlink"/>
            <w:i/>
            <w:iCs/>
          </w:rPr>
          <w:t>art. 70, III, da Lei Nº 14.133/2021</w:t>
        </w:r>
      </w:hyperlink>
      <w:r>
        <w:rPr>
          <w:i/>
          <w:iCs/>
          <w:color w:val="000000"/>
        </w:rPr>
        <w:t>, por sua vez, dispõe que as exigências de habilitação poderão ser dispensadas, “total ou parcialmente, nas contratações para entrega imediata, nas contratações em valores inferiores a 1/4 (um quarto) do limite para dispensa de licitação para compras em geral e nas contratações de produto para pesquisa e desenvolvimento até o valor de R$ 300.000,00 (trezentos mil reais).” (Referidos valores são atualizados anualmente por Decreto, conforme art. 182 da mesma Lei).</w:t>
      </w:r>
    </w:p>
    <w:p w14:paraId="0DFB7BBA" w14:textId="77777777" w:rsidR="0082495D" w:rsidRDefault="0082495D">
      <w:pPr>
        <w:pStyle w:val="Textodecomentrio"/>
      </w:pPr>
      <w:r>
        <w:rPr>
          <w:i/>
          <w:iCs/>
          <w:color w:val="000000"/>
        </w:rPr>
        <w:t xml:space="preserve">A combinação da disposição constitucional com a disposição legal resulta que as exigências de qualificação técnica e econômica nas situações retratadas no art. 70, III, deve ser excepcional e justificada. Nas demais situações, em razão da diretriz constitucional, a Administração deve observar, diante do caso concreto, se o objeto da contratação demanda a exigência de todos os requisitos de habilitação apresentados neste modelo, levando-se em consideração o vulto e/ou a complexidade do objeto, a essencialidade do serviço e os riscos decorrentes de sua paralisação em função da eventual incapacidade econômica da contratada em suportar vicissitudes contratuais, excluindo-se o que entender excessivo. </w:t>
      </w:r>
    </w:p>
    <w:p w14:paraId="03C64340" w14:textId="77777777" w:rsidR="0082495D" w:rsidRDefault="0082495D">
      <w:pPr>
        <w:pStyle w:val="Textodecomentrio"/>
      </w:pPr>
      <w:r>
        <w:rPr>
          <w:i/>
          <w:iCs/>
          <w:color w:val="000000"/>
        </w:rPr>
        <w:t>Em licitação dividida em itens, as exigências de habilitação podem adequar-se a essa divisibilidade, sendo possível, em um mesmo instrumento, a exigência de requisitos de habilitação mais amplos somente para alguns itens. Para se fazer isso, basta acrescentar uma ressalva ao final na exigência pertinente, tal como “(exigência relativa somente aos itens X, Y, Z)”.</w:t>
      </w:r>
    </w:p>
    <w:p w14:paraId="4670885F" w14:textId="77777777" w:rsidR="0082495D" w:rsidRDefault="0082495D" w:rsidP="007E253C">
      <w:pPr>
        <w:pStyle w:val="Textodecomentrio"/>
      </w:pPr>
      <w:r>
        <w:rPr>
          <w:i/>
          <w:iCs/>
          <w:color w:val="000000"/>
        </w:rPr>
        <w:t xml:space="preserve">É vedada a inclusão de requisitos que não tenham suporte nos </w:t>
      </w:r>
      <w:hyperlink r:id="rId54" w:history="1">
        <w:proofErr w:type="spellStart"/>
        <w:r w:rsidRPr="001C67E0">
          <w:rPr>
            <w:rStyle w:val="Hyperlink"/>
            <w:i/>
            <w:iCs/>
          </w:rPr>
          <w:t>arts</w:t>
        </w:r>
        <w:proofErr w:type="spellEnd"/>
        <w:r w:rsidRPr="001C67E0">
          <w:rPr>
            <w:rStyle w:val="Hyperlink"/>
            <w:i/>
            <w:iCs/>
          </w:rPr>
          <w:t>. 66 a 69 da Lei nº 14.133, de 2021.</w:t>
        </w:r>
      </w:hyperlink>
    </w:p>
  </w:comment>
  <w:comment w:id="32" w:author="Autor" w:initials="A">
    <w:p w14:paraId="242C7947" w14:textId="77777777" w:rsidR="0082495D" w:rsidRDefault="0082495D">
      <w:pPr>
        <w:pStyle w:val="Textodecomentrio"/>
      </w:pPr>
      <w:r>
        <w:rPr>
          <w:rStyle w:val="Refdecomentrio"/>
        </w:rPr>
        <w:annotationRef/>
      </w:r>
      <w:r>
        <w:rPr>
          <w:b/>
          <w:bCs/>
          <w:i/>
          <w:iCs/>
          <w:color w:val="000000"/>
        </w:rPr>
        <w:t>Nota Explicativa:</w:t>
      </w:r>
      <w:r>
        <w:rPr>
          <w:i/>
          <w:iCs/>
          <w:color w:val="000000"/>
        </w:rPr>
        <w:t xml:space="preserve"> A </w:t>
      </w:r>
      <w:hyperlink r:id="rId55" w:history="1">
        <w:r w:rsidRPr="006D0144">
          <w:rPr>
            <w:rStyle w:val="Hyperlink"/>
            <w:i/>
            <w:iCs/>
          </w:rPr>
          <w:t>Instrução Normativa SEGES/ME nº 116, de 21 de dezembro de 2021</w:t>
        </w:r>
      </w:hyperlink>
      <w:r>
        <w:rPr>
          <w:i/>
          <w:iCs/>
          <w:color w:val="000000"/>
        </w:rPr>
        <w:t xml:space="preserve">, estabelece procedimentos para a participação de pessoa física nas contratações públicas regidas pela </w:t>
      </w:r>
      <w:hyperlink r:id="rId56" w:history="1">
        <w:r w:rsidRPr="006D0144">
          <w:rPr>
            <w:rStyle w:val="Hyperlink"/>
            <w:i/>
            <w:iCs/>
          </w:rPr>
          <w:t>Lei nº 14.133, de 2021</w:t>
        </w:r>
      </w:hyperlink>
      <w:r>
        <w:rPr>
          <w:i/>
          <w:iCs/>
          <w:color w:val="000000"/>
        </w:rPr>
        <w:t>, no âmbito da Administração Pública federal direta, autárquica e fundacional. Em seu art. 2º, a norma considera pessoa física “ todo o trabalhador autônomo, sem qualquer vínculo de subordinação para fins de execução do objeto da contratação pública, incluindo os profissionais liberais não enquadrados como sociedade empresária ou empresário individual, nos termos das legislações específicas, que participa ou manifesta a intenção de participar de processo de contratação pública, sendo equiparado a fornecedor ou ao prestador de serviço que, em atendimento à solicitação da Administração, oferece proposta”.</w:t>
      </w:r>
    </w:p>
    <w:p w14:paraId="59354CA4" w14:textId="77777777" w:rsidR="0082495D" w:rsidRDefault="0082495D">
      <w:pPr>
        <w:pStyle w:val="Textodecomentrio"/>
      </w:pPr>
      <w:r>
        <w:rPr>
          <w:i/>
          <w:iCs/>
          <w:color w:val="000000"/>
        </w:rPr>
        <w:t xml:space="preserve">A IN SEGES/ME nº 116, de 2021, determina, em seu art. 4º, caput, que os editais ou os avisos de contratação direta possibilitem a contratação das pessoas físicas, em observância aos objetivos da isonomia e da justa competição. Ainda de acordo com o parágrafo único desse mesmo dispositivo, será ressalvada a participação de pessoas físicas nas licitações ou contratações diretas, “quando a contratação exigir </w:t>
      </w:r>
      <w:r>
        <w:rPr>
          <w:b/>
          <w:bCs/>
          <w:i/>
          <w:iCs/>
          <w:color w:val="000000"/>
        </w:rPr>
        <w:t>capital social mínimo</w:t>
      </w:r>
      <w:r>
        <w:rPr>
          <w:i/>
          <w:iCs/>
          <w:color w:val="000000"/>
        </w:rPr>
        <w:t xml:space="preserve"> e </w:t>
      </w:r>
      <w:r>
        <w:rPr>
          <w:b/>
          <w:bCs/>
          <w:i/>
          <w:iCs/>
          <w:color w:val="000000"/>
        </w:rPr>
        <w:t>estrutura mínima</w:t>
      </w:r>
      <w:r>
        <w:rPr>
          <w:i/>
          <w:iCs/>
          <w:color w:val="000000"/>
        </w:rPr>
        <w:t xml:space="preserve">, com equipamentos, instalações e equipe de profissionais ou corpo técnico para a execução do objeto </w:t>
      </w:r>
      <w:r>
        <w:rPr>
          <w:b/>
          <w:bCs/>
          <w:i/>
          <w:iCs/>
          <w:color w:val="000000"/>
        </w:rPr>
        <w:t>incompatíveis com a natureza profissional da pessoa física</w:t>
      </w:r>
      <w:r>
        <w:rPr>
          <w:i/>
          <w:iCs/>
          <w:color w:val="000000"/>
        </w:rPr>
        <w:t xml:space="preserve">, conforme </w:t>
      </w:r>
      <w:r>
        <w:rPr>
          <w:b/>
          <w:bCs/>
          <w:i/>
          <w:iCs/>
          <w:color w:val="000000"/>
        </w:rPr>
        <w:t>demonstrado em estudo técnico preliminar</w:t>
      </w:r>
      <w:r>
        <w:rPr>
          <w:i/>
          <w:iCs/>
          <w:color w:val="000000"/>
        </w:rPr>
        <w:t xml:space="preserve">”. Portanto, a possibilidade, ou não, de contratação de pessoas físicas deverá ser objeto de prévia análise e manifestação técnica por parte do órgão contratante, na fase de planejamento da contratação. </w:t>
      </w:r>
    </w:p>
    <w:p w14:paraId="359ED848" w14:textId="77777777" w:rsidR="0082495D" w:rsidRDefault="0082495D" w:rsidP="007E253C">
      <w:pPr>
        <w:pStyle w:val="Textodecomentrio"/>
      </w:pPr>
      <w:r>
        <w:rPr>
          <w:i/>
          <w:iCs/>
          <w:color w:val="000000"/>
        </w:rPr>
        <w:t xml:space="preserve">O </w:t>
      </w:r>
      <w:hyperlink r:id="rId57" w:history="1">
        <w:r w:rsidRPr="006D0144">
          <w:rPr>
            <w:rStyle w:val="Hyperlink"/>
            <w:i/>
            <w:iCs/>
          </w:rPr>
          <w:t>Decreto n.º 10.977, de 23 de fevereiro de 2022</w:t>
        </w:r>
      </w:hyperlink>
      <w:r>
        <w:rPr>
          <w:i/>
          <w:iCs/>
          <w:color w:val="000000"/>
        </w:rPr>
        <w:t xml:space="preserve">, que regulamenta a </w:t>
      </w:r>
      <w:hyperlink r:id="rId58" w:history="1">
        <w:r w:rsidRPr="006D0144">
          <w:rPr>
            <w:rStyle w:val="Hyperlink"/>
            <w:i/>
            <w:iCs/>
          </w:rPr>
          <w:t>Lei nº 7.116, de 29 de agosto de 1983</w:t>
        </w:r>
      </w:hyperlink>
      <w:r>
        <w:rPr>
          <w:i/>
          <w:iCs/>
          <w:color w:val="000000"/>
        </w:rPr>
        <w:t xml:space="preserve">, e a </w:t>
      </w:r>
      <w:hyperlink r:id="rId59" w:anchor="art3" w:history="1">
        <w:r w:rsidRPr="006D0144">
          <w:rPr>
            <w:rStyle w:val="Hyperlink"/>
            <w:i/>
            <w:iCs/>
          </w:rPr>
          <w:t>Lei nº 9.454, de 7 de abril de 1997</w:t>
        </w:r>
      </w:hyperlink>
      <w:r>
        <w:rPr>
          <w:i/>
          <w:iCs/>
          <w:color w:val="000000"/>
        </w:rPr>
        <w:t>, estabelece, em seu art. 3º, que a Carteira de Identidade passa a adotar o número de inscrição no Cadastro de Pessoas Físicas - CPF como o número do registro geral nacional previsto no inciso IV do </w:t>
      </w:r>
      <w:r>
        <w:rPr>
          <w:b/>
          <w:bCs/>
          <w:i/>
          <w:iCs/>
          <w:color w:val="000000"/>
        </w:rPr>
        <w:t>caput </w:t>
      </w:r>
      <w:r>
        <w:rPr>
          <w:i/>
          <w:iCs/>
          <w:color w:val="000000"/>
        </w:rPr>
        <w:t>do seu art. 11.</w:t>
      </w:r>
    </w:p>
  </w:comment>
  <w:comment w:id="33" w:author="Autor" w:initials="A">
    <w:p w14:paraId="59BF5060" w14:textId="77777777" w:rsidR="0082495D" w:rsidRDefault="0082495D">
      <w:pPr>
        <w:pStyle w:val="Textodecomentrio"/>
      </w:pPr>
      <w:r>
        <w:rPr>
          <w:rStyle w:val="Refdecomentrio"/>
        </w:rPr>
        <w:annotationRef/>
      </w:r>
      <w:r>
        <w:rPr>
          <w:b/>
          <w:bCs/>
          <w:i/>
          <w:iCs/>
          <w:color w:val="000000"/>
        </w:rPr>
        <w:t>Nota Explicativa:</w:t>
      </w:r>
      <w:r>
        <w:rPr>
          <w:i/>
          <w:iCs/>
          <w:color w:val="000000"/>
        </w:rPr>
        <w:t xml:space="preserve"> O </w:t>
      </w:r>
      <w:hyperlink r:id="rId60" w:anchor="art41" w:history="1">
        <w:r w:rsidRPr="00EB2D55">
          <w:rPr>
            <w:rStyle w:val="Hyperlink"/>
            <w:i/>
            <w:iCs/>
          </w:rPr>
          <w:t>art. 41 da Lei nº 14.195, de 26 de agosto de 2021</w:t>
        </w:r>
      </w:hyperlink>
      <w:r>
        <w:rPr>
          <w:i/>
          <w:iCs/>
          <w:color w:val="000000"/>
        </w:rPr>
        <w:t>, transformou todas as empresas individuais de responsabilidade limitada (EIRELI) existentes na data da entrada em vigor da Lei em sociedades limitadas unipessoais (SLU), independentemente de qualquer alteração em seus respectivos atos constitutivos.</w:t>
      </w:r>
    </w:p>
    <w:p w14:paraId="1B7B59AE" w14:textId="77777777" w:rsidR="0082495D" w:rsidRDefault="0082495D">
      <w:pPr>
        <w:pStyle w:val="Textodecomentrio"/>
      </w:pPr>
      <w:r>
        <w:rPr>
          <w:i/>
          <w:iCs/>
          <w:color w:val="000000"/>
        </w:rPr>
        <w:t xml:space="preserve">Posteriormente, o </w:t>
      </w:r>
      <w:hyperlink r:id="rId61" w:anchor="art20" w:history="1">
        <w:r w:rsidRPr="00EB2D55">
          <w:rPr>
            <w:rStyle w:val="Hyperlink"/>
            <w:i/>
            <w:iCs/>
          </w:rPr>
          <w:t>inciso VI, alíneas “a” e “b”, art. 20, da Lei nº 14.382, de 27 de junho de 2022</w:t>
        </w:r>
      </w:hyperlink>
      <w:r>
        <w:rPr>
          <w:i/>
          <w:iCs/>
          <w:color w:val="000000"/>
        </w:rPr>
        <w:t>, revogou as disposições sobre EIRELI constantes do inciso VI do caput do art. 44 e do Título I-A do Livro II da Parte Especial do Código Civil (</w:t>
      </w:r>
      <w:hyperlink r:id="rId62" w:anchor="art44" w:history="1">
        <w:r w:rsidRPr="00EB2D55">
          <w:rPr>
            <w:rStyle w:val="Hyperlink"/>
            <w:i/>
            <w:iCs/>
          </w:rPr>
          <w:t>Lei nº 10.406, de 10 de janeiro de 2002</w:t>
        </w:r>
      </w:hyperlink>
      <w:r>
        <w:rPr>
          <w:i/>
          <w:iCs/>
          <w:color w:val="000000"/>
        </w:rPr>
        <w:t>).</w:t>
      </w:r>
    </w:p>
    <w:p w14:paraId="231DEFC3" w14:textId="77777777" w:rsidR="0082495D" w:rsidRDefault="0082495D">
      <w:pPr>
        <w:pStyle w:val="Textodecomentrio"/>
      </w:pPr>
      <w:r>
        <w:rPr>
          <w:i/>
          <w:iCs/>
          <w:color w:val="000000"/>
        </w:rPr>
        <w:t>Diante dessa situação, orientamos os agentes de contratação da seguinte forma: se a empresa for identificada como EIRELI em seus atos constitutivos, ela deverá ser considerada como convertida em SLU, automaticamente, durante o processo de contratação. Os atos constitutivos, inclusive, deverão ser considerados regulares como EIRELI, mas a empresa deverá se comportar na contratação como uma SLU.</w:t>
      </w:r>
    </w:p>
  </w:comment>
  <w:comment w:id="35" w:author="Autor" w:initials="A">
    <w:p w14:paraId="5B66ABAC" w14:textId="77777777" w:rsidR="0082495D" w:rsidRDefault="0082495D" w:rsidP="003C7829">
      <w:pPr>
        <w:pStyle w:val="Textodecomentrio"/>
        <w:rPr>
          <w:i/>
          <w:iCs/>
          <w:color w:val="000000"/>
        </w:rPr>
      </w:pPr>
      <w:r>
        <w:rPr>
          <w:rStyle w:val="Refdecomentrio"/>
        </w:rPr>
        <w:annotationRef/>
      </w:r>
      <w:r>
        <w:rPr>
          <w:b/>
          <w:bCs/>
          <w:i/>
          <w:iCs/>
          <w:color w:val="000000"/>
        </w:rPr>
        <w:t>Nota Explicativa:</w:t>
      </w:r>
      <w:r>
        <w:rPr>
          <w:i/>
          <w:iCs/>
          <w:color w:val="000000"/>
        </w:rPr>
        <w:t xml:space="preserve"> O </w:t>
      </w:r>
      <w:hyperlink r:id="rId63" w:anchor="art193" w:history="1">
        <w:r w:rsidRPr="00041455">
          <w:rPr>
            <w:rStyle w:val="Hyperlink"/>
            <w:i/>
            <w:iCs/>
          </w:rPr>
          <w:t>artigo 193 do Código Tributário Nacional (Lei nº 5.172, de 25 de outubro de 1966</w:t>
        </w:r>
      </w:hyperlink>
      <w:r>
        <w:rPr>
          <w:i/>
          <w:iCs/>
          <w:color w:val="000000"/>
        </w:rPr>
        <w:t xml:space="preserve">) preceitua que a prova da quitação de todos os tributos devidos dar-se-á no âmbito da Fazenda Pública interessada, “relativos à atividade em cujo exercício contrata ou concorre”. Nessa mesma linha, o </w:t>
      </w:r>
      <w:hyperlink r:id="rId64" w:anchor="art68" w:history="1">
        <w:r w:rsidRPr="00041455">
          <w:rPr>
            <w:rStyle w:val="Hyperlink"/>
            <w:i/>
            <w:iCs/>
          </w:rPr>
          <w:t>art. 68, inciso II, da Lei n.º 14.133, de 2021</w:t>
        </w:r>
      </w:hyperlink>
      <w:r>
        <w:rPr>
          <w:i/>
          <w:iCs/>
          <w:color w:val="000000"/>
        </w:rPr>
        <w:t>, estabelece a exigência de “inscrição no cadastro de contribuintes estadual e/ou municipal, se houver, relativo ao domicílio ou sede do licitante, pertinente ao seu ramo de atividade e compatível com o objeto contratual”. Dessa forma, a prova de inscrição no cadastro de contribuintes estadual ou municipal e a prova de regularidade fiscal correspondente deve levar em conta a natureza da atividade objeto da contratação e o âmbito da tributação sobre ele incidente:  tratando-se de serviços em geral, incide o ISS, tributo de competência municipal, ao passo que, para aquisições incide o ICMS, tributo de competência estadual.</w:t>
      </w:r>
    </w:p>
    <w:p w14:paraId="62035EED" w14:textId="69970F00" w:rsidR="0082495D" w:rsidRDefault="0082495D" w:rsidP="003C7829">
      <w:pPr>
        <w:pStyle w:val="Textodecomentrio"/>
        <w:rPr>
          <w:i/>
          <w:iCs/>
          <w:color w:val="000000"/>
        </w:rPr>
      </w:pPr>
      <w:r>
        <w:rPr>
          <w:i/>
          <w:iCs/>
          <w:color w:val="000000"/>
        </w:rPr>
        <w:t>Exceções: serviços de telecomunicações, de transporte interestadual e intermunicipal são tributados por ICMS, conforme art. 155, II da Constituição Federal.</w:t>
      </w:r>
    </w:p>
    <w:p w14:paraId="1AC1D90D" w14:textId="2A7C7822" w:rsidR="0082495D" w:rsidRDefault="0082495D" w:rsidP="003C7829">
      <w:pPr>
        <w:pStyle w:val="Textodecomentrio"/>
      </w:pPr>
      <w:r>
        <w:rPr>
          <w:i/>
          <w:iCs/>
          <w:color w:val="000000"/>
        </w:rPr>
        <w:t xml:space="preserve">A Lista de Serviços anexa à </w:t>
      </w:r>
      <w:r w:rsidRPr="00C3764B">
        <w:rPr>
          <w:i/>
          <w:iCs/>
          <w:color w:val="000000"/>
        </w:rPr>
        <w:t>Lei Complementar 116, de 2003, que disciplina o Imposto Sobre Serviços de Qualquer Natureza (ISSQN)</w:t>
      </w:r>
      <w:r>
        <w:rPr>
          <w:i/>
          <w:iCs/>
          <w:color w:val="000000"/>
        </w:rPr>
        <w:t xml:space="preserve">, prevê alguns serviços que envolvem o fornecimento de mercadorias, peças, partes empregadas, comida ou bebidas </w:t>
      </w:r>
      <w:r w:rsidR="00241D50">
        <w:rPr>
          <w:i/>
          <w:iCs/>
          <w:color w:val="000000"/>
        </w:rPr>
        <w:t xml:space="preserve">também </w:t>
      </w:r>
      <w:r>
        <w:rPr>
          <w:i/>
          <w:iCs/>
          <w:color w:val="000000"/>
        </w:rPr>
        <w:t xml:space="preserve">são tributados pelo ICMS. Como exemplos, os serviços de manutenção e conservação de máquinas, veículos, aparelhos </w:t>
      </w:r>
      <w:proofErr w:type="spellStart"/>
      <w:r>
        <w:rPr>
          <w:i/>
          <w:iCs/>
          <w:color w:val="000000"/>
        </w:rPr>
        <w:t>etc</w:t>
      </w:r>
      <w:proofErr w:type="spellEnd"/>
      <w:r>
        <w:rPr>
          <w:i/>
          <w:iCs/>
          <w:color w:val="000000"/>
        </w:rPr>
        <w:t xml:space="preserve"> (itens 14.01 e 14.03), em relação às peças e partes empregadas, e o serviço de organização de festas, recepções e bufê (item 17.11), em relação à alimentação e bebidas. Cabe ao órgão aferir as hipóteses excepcionas em que tanto a regularidade municipal como a estadual/Distrital deverão ser exigidas.</w:t>
      </w:r>
    </w:p>
  </w:comment>
  <w:comment w:id="37" w:author="Autor" w:initials="A">
    <w:p w14:paraId="7351B2CC" w14:textId="77777777" w:rsidR="0082495D" w:rsidRDefault="0082495D" w:rsidP="004F5A39">
      <w:pPr>
        <w:pStyle w:val="Textodecomentrio"/>
      </w:pPr>
      <w:r>
        <w:rPr>
          <w:rStyle w:val="Refdecomentrio"/>
        </w:rPr>
        <w:annotationRef/>
      </w:r>
      <w:r>
        <w:rPr>
          <w:b/>
          <w:bCs/>
          <w:i/>
          <w:iCs/>
        </w:rPr>
        <w:t xml:space="preserve">Nota Explicativa: </w:t>
      </w:r>
      <w:r>
        <w:rPr>
          <w:i/>
          <w:iCs/>
          <w:color w:val="000000"/>
        </w:rPr>
        <w:t>A apresentação do Certificado de Condição de Microempreendedor Individual – CCMEI supre as exigências de inscrição nos cadastros fiscais, na medida em que essas informações constam no próprio Certificado.</w:t>
      </w:r>
    </w:p>
  </w:comment>
  <w:comment w:id="38" w:author="Autor" w:initials="A">
    <w:p w14:paraId="400A5F0C" w14:textId="77777777" w:rsidR="0082495D" w:rsidRDefault="0082495D">
      <w:pPr>
        <w:pStyle w:val="Textodecomentrio"/>
      </w:pPr>
      <w:r>
        <w:rPr>
          <w:rStyle w:val="Refdecomentrio"/>
        </w:rPr>
        <w:annotationRef/>
      </w:r>
      <w:r>
        <w:rPr>
          <w:b/>
          <w:bCs/>
          <w:i/>
          <w:iCs/>
          <w:color w:val="000000"/>
        </w:rPr>
        <w:t xml:space="preserve">Nota Explicativa 1: </w:t>
      </w:r>
      <w:r>
        <w:rPr>
          <w:i/>
          <w:iCs/>
          <w:color w:val="000000"/>
        </w:rPr>
        <w:t xml:space="preserve">A Administração deve examinar, diante do caso concreto, se o objeto da contratação demanda a exigência de todos os requisitos de habilitação apresentados neste modelo, levando-se em consideração o vulto e/ou a complexidade e a essencialidade do objeto, bem como os riscos decorrentes de sua paralisação em função da eventual incapacidade econômica da contratada em suportar os deveres contratuais, excluindo-se o que entender excessivo. Nesse sentido, a exigência pode restringir-se a alguns itens, como, por exemplo, somente aos itens não exclusivos a microempresa e empresas de pequeno porte, ou mesmo não ser exigida para nenhum deles, caso em que deve ser suprimida do edital. Conforme Nota Explicativa do início deste tópico, a exigência de qualificação técnica e econômica nas circunstâncias previstas no </w:t>
      </w:r>
      <w:hyperlink r:id="rId65" w:anchor="art70" w:history="1">
        <w:r w:rsidRPr="00502854">
          <w:rPr>
            <w:rStyle w:val="Hyperlink"/>
            <w:i/>
            <w:iCs/>
          </w:rPr>
          <w:t>art. 70, III da Lei n.º 14.133, de 2021</w:t>
        </w:r>
      </w:hyperlink>
      <w:r>
        <w:rPr>
          <w:i/>
          <w:iCs/>
          <w:color w:val="000000"/>
        </w:rPr>
        <w:t xml:space="preserve">, deve ser excepcional e justificada, à luz do </w:t>
      </w:r>
      <w:hyperlink r:id="rId66" w:history="1">
        <w:r w:rsidRPr="00502854">
          <w:rPr>
            <w:rStyle w:val="Hyperlink"/>
            <w:i/>
            <w:iCs/>
          </w:rPr>
          <w:t>art. 37, XXI, da Constituição Federal.</w:t>
        </w:r>
      </w:hyperlink>
    </w:p>
    <w:p w14:paraId="647F39C0" w14:textId="77777777" w:rsidR="0082495D" w:rsidRDefault="0082495D" w:rsidP="003C7829">
      <w:pPr>
        <w:pStyle w:val="Textodecomentrio"/>
      </w:pPr>
      <w:r>
        <w:rPr>
          <w:b/>
          <w:bCs/>
          <w:i/>
          <w:iCs/>
          <w:color w:val="000000"/>
        </w:rPr>
        <w:t xml:space="preserve">Nota Explicativa 2: </w:t>
      </w:r>
      <w:r>
        <w:rPr>
          <w:i/>
          <w:iCs/>
          <w:color w:val="000000"/>
        </w:rPr>
        <w:t>É possível adotar critérios de habilitação econômico-financeira com requisitos diferenciados, estabelecidos conforme as peculiaridades do objeto a ser licitado, com justificativa do percentual adotado nos autos do procedimento licitatório.</w:t>
      </w:r>
    </w:p>
  </w:comment>
  <w:comment w:id="39" w:author="Autor" w:initials="A">
    <w:p w14:paraId="17196D3C"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Não podem ser cumulativas as exigências de capital mínimo e de patrimônio líquido mínimo, razão pela qual a Administração deverá escolher motivadamente entre uma das duas opções.</w:t>
      </w:r>
    </w:p>
    <w:p w14:paraId="458058F5" w14:textId="77777777" w:rsidR="0082495D" w:rsidRDefault="0082495D">
      <w:pPr>
        <w:pStyle w:val="Textodecomentrio"/>
      </w:pPr>
      <w:r>
        <w:rPr>
          <w:b/>
          <w:bCs/>
          <w:i/>
          <w:iCs/>
          <w:color w:val="000000"/>
        </w:rPr>
        <w:t>Nota Explicativa 2:</w:t>
      </w:r>
      <w:r>
        <w:rPr>
          <w:i/>
          <w:iCs/>
          <w:color w:val="000000"/>
        </w:rPr>
        <w:t xml:space="preserve"> A fixação do percentual se insere na esfera de atuação discricionária da Administração até o limite legal de 10% (dez por cento) do valor estimado da contratação e deve ser proporcional aos riscos que a inexecução total ou parcial do contrato poderá acarretar para a Administração, considerando-se, entre outros fatores, o valor do contrato, a essencialidade do objeto, o tempo de duração do contrato. </w:t>
      </w:r>
    </w:p>
    <w:p w14:paraId="6A59CE61" w14:textId="77777777" w:rsidR="0082495D" w:rsidRDefault="0082495D" w:rsidP="004F5A39">
      <w:pPr>
        <w:pStyle w:val="Textodecomentrio"/>
      </w:pPr>
      <w:r>
        <w:rPr>
          <w:i/>
          <w:iCs/>
          <w:color w:val="000000"/>
        </w:rPr>
        <w:t>A sondagem do mercado se afigura importante, a fim de obter dados sobre o porte das empresas que atuam na área objeto da contratação. Ressalte-se que, se o referido percentual for fixado em seu mais alto patamar e o valor total estimado da contratação também for significativo, trará como consequência a necessidade de comprovação de patrimônio líquido elevado, o que poderá resultar na restrição à participação de interessados no certame, em especial, de microempresas ou empresas de pequeno porte, podendo ferir o princípio constitucional de incentivo a essas unidades empresariais. Por essa razão, é indispensável avaliação técnica sobre o assunto.</w:t>
      </w:r>
    </w:p>
  </w:comment>
  <w:comment w:id="40" w:author="Autor" w:initials="A">
    <w:p w14:paraId="611413B8" w14:textId="77777777" w:rsidR="0082495D" w:rsidRDefault="0082495D" w:rsidP="003C7829">
      <w:pPr>
        <w:pStyle w:val="Textodecomentrio"/>
      </w:pPr>
      <w:r>
        <w:rPr>
          <w:rStyle w:val="Refdecomentrio"/>
        </w:rPr>
        <w:annotationRef/>
      </w:r>
      <w:r>
        <w:rPr>
          <w:b/>
          <w:bCs/>
          <w:i/>
          <w:iCs/>
          <w:color w:val="000000"/>
        </w:rPr>
        <w:t>Nota Explicativa:</w:t>
      </w:r>
      <w:r>
        <w:rPr>
          <w:b/>
          <w:bCs/>
          <w:color w:val="000000"/>
        </w:rPr>
        <w:t xml:space="preserve"> </w:t>
      </w:r>
      <w:r>
        <w:rPr>
          <w:color w:val="000000"/>
        </w:rPr>
        <w:t xml:space="preserve">A previsão do subitem 8.28 decorre do disposto no </w:t>
      </w:r>
      <w:hyperlink r:id="rId67" w:anchor="art69§1" w:history="1">
        <w:r w:rsidRPr="008A0ADE">
          <w:rPr>
            <w:rStyle w:val="Hyperlink"/>
            <w:i/>
            <w:iCs/>
          </w:rPr>
          <w:t>art. 69, §1º da Lei nº 14.133, de 2021</w:t>
        </w:r>
      </w:hyperlink>
      <w:r>
        <w:rPr>
          <w:color w:val="000000"/>
        </w:rPr>
        <w:t>, podendo a Administração optar por tal disposição, desde que justificadamente.</w:t>
      </w:r>
    </w:p>
  </w:comment>
  <w:comment w:id="41" w:author="Autor" w:initials="A">
    <w:p w14:paraId="385A6F13" w14:textId="77777777" w:rsidR="0082495D" w:rsidRDefault="0082495D" w:rsidP="004F5A39">
      <w:pPr>
        <w:pStyle w:val="Textodecomentrio"/>
      </w:pPr>
      <w:r>
        <w:rPr>
          <w:rStyle w:val="Refdecomentrio"/>
        </w:rPr>
        <w:annotationRef/>
      </w:r>
      <w:r>
        <w:rPr>
          <w:b/>
          <w:bCs/>
          <w:i/>
          <w:iCs/>
          <w:color w:val="000000"/>
        </w:rPr>
        <w:t xml:space="preserve">Nota Explicativa: </w:t>
      </w:r>
      <w:r>
        <w:rPr>
          <w:i/>
          <w:iCs/>
          <w:color w:val="000000"/>
        </w:rPr>
        <w:t>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ETP.</w:t>
      </w:r>
    </w:p>
  </w:comment>
  <w:comment w:id="42" w:author="Autor" w:initials="A">
    <w:p w14:paraId="4E17DD6D" w14:textId="77777777" w:rsidR="002C5308" w:rsidRPr="002C5308" w:rsidRDefault="002C5308" w:rsidP="002C5308">
      <w:r>
        <w:rPr>
          <w:rStyle w:val="Refdecomentrio"/>
        </w:rPr>
        <w:annotationRef/>
      </w:r>
      <w:r w:rsidRPr="002C5308">
        <w:rPr>
          <w:b/>
          <w:bCs/>
          <w:i/>
          <w:iCs/>
        </w:rPr>
        <w:t>Nota Explicativa</w:t>
      </w:r>
      <w:r w:rsidRPr="002C5308">
        <w:rPr>
          <w:i/>
          <w:iCs/>
        </w:rPr>
        <w:t>: Conforme exposto na Nota Explicativa sobre os requisitos da contratação – vistoria – essa declaração só deve ser exigida caso tenha sido considerada imprescindível a avaliação prévia do local de execução para o conhecimento pleno das condições e peculiaridades do objeto a ser contratado. No entanto, como explicado naquela nota, a declaração de conhecimento das condições locais poderá ser substituída por declaração do responsável técnico acerca do conhecimento pleno das condições e peculiaridades da contratação (e não necessariamente do local).</w:t>
      </w:r>
      <w:r w:rsidRPr="002C5308">
        <w:annotationRef/>
      </w:r>
    </w:p>
    <w:p w14:paraId="65BFCF97" w14:textId="41D025C7" w:rsidR="002C5308" w:rsidRDefault="002C5308" w:rsidP="002C5308">
      <w:pPr>
        <w:pStyle w:val="Textodecomentrio"/>
        <w:rPr>
          <w:i/>
          <w:iCs/>
        </w:rPr>
      </w:pPr>
      <w:r w:rsidRPr="002C5308">
        <w:rPr>
          <w:i/>
          <w:iCs/>
        </w:rPr>
        <w:t>Caso essa avaliação local tenha sido considerada desnecessária, a exigência dessa declaração deve ser suprimida.</w:t>
      </w:r>
    </w:p>
    <w:p w14:paraId="69461A6F" w14:textId="77777777" w:rsidR="002C5308" w:rsidRDefault="002C5308" w:rsidP="002C5308">
      <w:pPr>
        <w:pStyle w:val="Textodecomentrio"/>
      </w:pPr>
    </w:p>
  </w:comment>
  <w:comment w:id="43" w:author="Autor" w:initials="A">
    <w:p w14:paraId="66786C68"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O subitem 8.30.2 deverá ser incluído caso seja formulada exigência de quantitativos mínimos do serviço a serem comprovados por meio dos atestados. O somatório de atestados apenas poderá ser afastado de forma justificada, já que constitui medida restritiva da competição na dispensa eletrônica.  </w:t>
      </w:r>
    </w:p>
    <w:p w14:paraId="34E3AEFE" w14:textId="77777777" w:rsidR="0082495D" w:rsidRDefault="0082495D">
      <w:pPr>
        <w:pStyle w:val="Textodecomentrio"/>
      </w:pPr>
      <w:r>
        <w:rPr>
          <w:b/>
          <w:bCs/>
          <w:i/>
          <w:iCs/>
          <w:color w:val="000000"/>
        </w:rPr>
        <w:t xml:space="preserve">Nota Explicativa 2: </w:t>
      </w:r>
      <w:r>
        <w:rPr>
          <w:i/>
          <w:iCs/>
          <w:color w:val="000000"/>
        </w:rPr>
        <w:t>A essência da capacidade operacional é procurar identificar se a futura contratada tem a infraestrutura empresarial e a capacidade de gestão de executar o objeto e, justamente por esse contexto, podem ser feitas exigências de comprovação de anterior execução de quantitativos mínimos (compatíveis com o objeto a ser contratado). Deste modo, é possível que essa comprovação se dê pela somatória de atestados de contratos executados realizados concomitantemente, pois da mesma forma revelam a capacidade operacional da empresa.</w:t>
      </w:r>
    </w:p>
    <w:p w14:paraId="1DBD1E9E" w14:textId="77777777" w:rsidR="0082495D" w:rsidRDefault="0082495D">
      <w:pPr>
        <w:pStyle w:val="Textodecomentrio"/>
      </w:pPr>
      <w:r>
        <w:rPr>
          <w:i/>
          <w:iCs/>
          <w:color w:val="000000"/>
        </w:rPr>
        <w:t xml:space="preserve">De qualquer forma, é absolutamente fundamental que a exigência seja totalmente objetiva, indicando quantitativos precisos, para evitar dúvidas na hora da habilitação, que podem vir a comprometer o objetivo do processo, de formalizar a contratação. </w:t>
      </w:r>
    </w:p>
    <w:p w14:paraId="7B4C4CCA" w14:textId="77777777" w:rsidR="0082495D" w:rsidRDefault="0082495D">
      <w:pPr>
        <w:pStyle w:val="Textodecomentrio"/>
      </w:pPr>
      <w:r>
        <w:rPr>
          <w:i/>
          <w:iCs/>
          <w:color w:val="000000"/>
        </w:rPr>
        <w:t xml:space="preserve">Conforme </w:t>
      </w:r>
      <w:hyperlink r:id="rId68" w:anchor="art67§2" w:history="1">
        <w:r w:rsidRPr="000B176E">
          <w:rPr>
            <w:rStyle w:val="Hyperlink"/>
            <w:i/>
            <w:iCs/>
          </w:rPr>
          <w:t>§2º do art. 67 da Lei nº 14.133, de 2021</w:t>
        </w:r>
      </w:hyperlink>
      <w:r>
        <w:rPr>
          <w:i/>
          <w:iCs/>
          <w:color w:val="000000"/>
        </w:rPr>
        <w:t xml:space="preserve">,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do valor total estimado da contratação (art. 67, §1º). </w:t>
      </w:r>
    </w:p>
    <w:p w14:paraId="392AE6D5" w14:textId="77777777" w:rsidR="0082495D" w:rsidRDefault="0082495D">
      <w:pPr>
        <w:pStyle w:val="Textodecomentrio"/>
      </w:pPr>
      <w:r>
        <w:rPr>
          <w:b/>
          <w:bCs/>
          <w:i/>
          <w:iCs/>
          <w:color w:val="000000"/>
        </w:rPr>
        <w:t xml:space="preserve">Nota Explicativa 3: </w:t>
      </w:r>
      <w:r>
        <w:rPr>
          <w:i/>
          <w:iCs/>
          <w:color w:val="000000"/>
        </w:rPr>
        <w:t xml:space="preserve">Os requisitos de qualificação técnica são aplicáveis a todos os licitantes, inclusive pessoas físicas, conforme inciso I do </w:t>
      </w:r>
      <w:hyperlink r:id="rId69" w:history="1">
        <w:r w:rsidRPr="000B176E">
          <w:rPr>
            <w:rStyle w:val="Hyperlink"/>
            <w:i/>
            <w:iCs/>
          </w:rPr>
          <w:t>art. 5º da Instrução Normativa Seges/ME nº 116, de 2021</w:t>
        </w:r>
      </w:hyperlink>
      <w:r>
        <w:rPr>
          <w:i/>
          <w:iCs/>
          <w:color w:val="000000"/>
        </w:rPr>
        <w:t>.</w:t>
      </w:r>
    </w:p>
    <w:p w14:paraId="3DE64030" w14:textId="77777777" w:rsidR="0082495D" w:rsidRDefault="0082495D">
      <w:pPr>
        <w:pStyle w:val="Textodecomentrio"/>
      </w:pPr>
      <w:r>
        <w:rPr>
          <w:b/>
          <w:bCs/>
          <w:i/>
          <w:iCs/>
          <w:color w:val="000000"/>
        </w:rPr>
        <w:t xml:space="preserve">Nota Explicativa 4: </w:t>
      </w:r>
      <w:r>
        <w:rPr>
          <w:i/>
          <w:iCs/>
          <w:color w:val="000000"/>
        </w:rPr>
        <w:t xml:space="preserve">Caso seja permitida a subcontratação de fornecimento com aspectos técnicos específicos, poderá ser admitida a apresentação de atestados relativos a potencial subcontratado, limitado a 25% do objeto licitado, conforme </w:t>
      </w:r>
      <w:hyperlink r:id="rId70" w:anchor="art67§9" w:history="1">
        <w:r w:rsidRPr="000B176E">
          <w:rPr>
            <w:rStyle w:val="Hyperlink"/>
            <w:i/>
            <w:iCs/>
          </w:rPr>
          <w:t>art. 67, §9º da Lei nº 14.133, de 2021</w:t>
        </w:r>
      </w:hyperlink>
      <w:r>
        <w:rPr>
          <w:i/>
          <w:iCs/>
          <w:color w:val="000000"/>
        </w:rPr>
        <w:t>.</w:t>
      </w:r>
    </w:p>
    <w:p w14:paraId="45393DDD" w14:textId="77777777" w:rsidR="0082495D" w:rsidRDefault="0082495D">
      <w:pPr>
        <w:pStyle w:val="Textodecomentrio"/>
      </w:pPr>
      <w:r>
        <w:rPr>
          <w:i/>
          <w:iCs/>
          <w:color w:val="000000"/>
        </w:rPr>
        <w:t xml:space="preserve">Em sendo esse o caso do processo, recomenda-se inserir a seguinte disposição: </w:t>
      </w:r>
    </w:p>
    <w:p w14:paraId="43DC4081" w14:textId="77777777" w:rsidR="0082495D" w:rsidRDefault="0082495D" w:rsidP="003C7829">
      <w:pPr>
        <w:pStyle w:val="Textodecomentrio"/>
      </w:pPr>
      <w:r>
        <w:rPr>
          <w:i/>
          <w:iCs/>
          <w:color w:val="000000"/>
        </w:rPr>
        <w:t>8.31.x: Será admitida a apresentação de atestados relativos a potencial subcontratado em relação à parcela do fornecimento de.... ..., cuja subcontratação foi expressamente autorizada no tópico pertinente.</w:t>
      </w:r>
    </w:p>
  </w:comment>
  <w:comment w:id="44" w:author="Autor" w:initials="A">
    <w:p w14:paraId="1C82CC9A" w14:textId="77777777" w:rsidR="0082495D" w:rsidRDefault="0082495D" w:rsidP="003C7829">
      <w:pPr>
        <w:pStyle w:val="Textodecomentrio"/>
      </w:pPr>
      <w:r>
        <w:rPr>
          <w:rStyle w:val="Refdecomentrio"/>
        </w:rPr>
        <w:annotationRef/>
      </w:r>
      <w:r>
        <w:rPr>
          <w:b/>
          <w:bCs/>
          <w:i/>
          <w:iCs/>
          <w:color w:val="000000"/>
        </w:rPr>
        <w:t>Nota Explicativa:</w:t>
      </w:r>
      <w:r>
        <w:rPr>
          <w:i/>
          <w:iCs/>
          <w:color w:val="000000"/>
        </w:rPr>
        <w:t xml:space="preserve"> Nesse sentido, o </w:t>
      </w:r>
      <w:hyperlink r:id="rId71" w:history="1">
        <w:r w:rsidRPr="00436E6D">
          <w:rPr>
            <w:rStyle w:val="Hyperlink"/>
            <w:i/>
            <w:iCs/>
          </w:rPr>
          <w:t>Parecer n. 00005/2021/CNMLC/CGU/AGU</w:t>
        </w:r>
      </w:hyperlink>
      <w:r>
        <w:rPr>
          <w:i/>
          <w:iCs/>
          <w:color w:val="000000"/>
        </w:rPr>
        <w:t xml:space="preserve">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w:t>
      </w:r>
      <w:hyperlink r:id="rId72" w:history="1">
        <w:r w:rsidRPr="00436E6D">
          <w:rPr>
            <w:rStyle w:val="Hyperlink"/>
            <w:i/>
            <w:iCs/>
          </w:rPr>
          <w:t>ORIENTAÇÃO NORMATIVA Nº 66, DE 29 DE MAIO DE 2020.</w:t>
        </w:r>
      </w:hyperlink>
    </w:p>
  </w:comment>
  <w:comment w:id="45" w:author="Autor" w:initials="A">
    <w:p w14:paraId="6DA9F3BE" w14:textId="77777777" w:rsidR="0082495D" w:rsidRDefault="0082495D" w:rsidP="003C7829">
      <w:pPr>
        <w:pStyle w:val="Textodecomentrio"/>
      </w:pPr>
      <w:r>
        <w:rPr>
          <w:rStyle w:val="Refdecomentrio"/>
        </w:rPr>
        <w:annotationRef/>
      </w:r>
      <w:r>
        <w:rPr>
          <w:b/>
          <w:bCs/>
          <w:i/>
          <w:iCs/>
          <w:color w:val="000000"/>
        </w:rPr>
        <w:t>Nota Explicativa:</w:t>
      </w:r>
      <w:r>
        <w:rPr>
          <w:i/>
          <w:iCs/>
          <w:color w:val="000000"/>
        </w:rPr>
        <w:t xml:space="preserve"> Eventuais requisitos de qualificação técnica previstos em lei específica e que incidam sobre a atividade objeto da contratação, deverão ser indicados no item 8.30.5, com fundamento no </w:t>
      </w:r>
      <w:hyperlink r:id="rId73" w:anchor="art67" w:history="1">
        <w:r w:rsidRPr="00135B55">
          <w:rPr>
            <w:rStyle w:val="Hyperlink"/>
            <w:i/>
            <w:iCs/>
          </w:rPr>
          <w:t>art. 67, inciso IV, da Lei nº 14.133, de 2021</w:t>
        </w:r>
      </w:hyperlink>
      <w:r>
        <w:rPr>
          <w:i/>
          <w:iCs/>
          <w:color w:val="000000"/>
        </w:rPr>
        <w:t xml:space="preserve">. Cita-se, exemplificativamente, a exigência, dentre os documentos de habilitação técnica, da chamada Autorização Especial, emitida pela Agência Nacional de Vigilância Sanitária – Anvisa, nas contratações para aquisição de medicamentos sujeitos a controle especial, com base na </w:t>
      </w:r>
      <w:hyperlink r:id="rId74" w:history="1">
        <w:r w:rsidRPr="00135B55">
          <w:rPr>
            <w:rStyle w:val="Hyperlink"/>
            <w:i/>
            <w:iCs/>
          </w:rPr>
          <w:t>Lei n.º 6.360, de 23 de setembro de 1976</w:t>
        </w:r>
      </w:hyperlink>
      <w:r>
        <w:rPr>
          <w:i/>
          <w:iCs/>
          <w:color w:val="000000"/>
        </w:rPr>
        <w:t>, e na Resolução da Diretoria Colegiada da RDC/Anvisa nº 16, de 1º de abril de 2014.</w:t>
      </w:r>
    </w:p>
  </w:comment>
  <w:comment w:id="46" w:author="Autor" w:initials="A">
    <w:p w14:paraId="4F367ACA" w14:textId="77777777" w:rsidR="0082495D" w:rsidRDefault="0082495D">
      <w:pPr>
        <w:pStyle w:val="Textodecomentrio"/>
      </w:pPr>
      <w:r>
        <w:rPr>
          <w:rStyle w:val="Refdecomentrio"/>
        </w:rPr>
        <w:annotationRef/>
      </w:r>
      <w:r>
        <w:rPr>
          <w:b/>
          <w:bCs/>
          <w:i/>
          <w:iCs/>
          <w:color w:val="000000"/>
        </w:rPr>
        <w:t xml:space="preserve">Nota Explicativa 1: </w:t>
      </w:r>
      <w:r>
        <w:rPr>
          <w:i/>
          <w:iCs/>
          <w:color w:val="000000"/>
          <w:u w:val="single"/>
        </w:rPr>
        <w:t xml:space="preserve">Pesquisa de Preços - </w:t>
      </w:r>
      <w:r>
        <w:rPr>
          <w:i/>
          <w:iCs/>
          <w:color w:val="000000"/>
        </w:rPr>
        <w:t xml:space="preserve">A estimativa de preços deve ser precedida de regular pesquisa, nos moldes do </w:t>
      </w:r>
      <w:hyperlink r:id="rId75" w:anchor="art23" w:history="1">
        <w:r w:rsidRPr="008745EE">
          <w:rPr>
            <w:rStyle w:val="Hyperlink"/>
            <w:i/>
            <w:iCs/>
          </w:rPr>
          <w:t>art. 23 da Lei nº 14.133, de 2021</w:t>
        </w:r>
      </w:hyperlink>
      <w:r>
        <w:rPr>
          <w:i/>
          <w:iCs/>
          <w:color w:val="000000"/>
        </w:rPr>
        <w:t xml:space="preserve">, e </w:t>
      </w:r>
      <w:hyperlink r:id="rId76" w:history="1">
        <w:r w:rsidRPr="008745EE">
          <w:rPr>
            <w:rStyle w:val="Hyperlink"/>
            <w:i/>
            <w:iCs/>
          </w:rPr>
          <w:t>da Instrução Normativa SEGES/ME nº 65, de 7 de julho 2021</w:t>
        </w:r>
      </w:hyperlink>
      <w:r>
        <w:rPr>
          <w:i/>
          <w:iCs/>
          <w:color w:val="000000"/>
        </w:rPr>
        <w:t>.</w:t>
      </w:r>
    </w:p>
    <w:p w14:paraId="78117364" w14:textId="77777777" w:rsidR="0082495D" w:rsidRDefault="0082495D">
      <w:pPr>
        <w:pStyle w:val="Textodecomentrio"/>
      </w:pPr>
      <w:r>
        <w:rPr>
          <w:b/>
          <w:bCs/>
          <w:i/>
          <w:iCs/>
        </w:rPr>
        <w:t>Nota Explicativa 2:</w:t>
      </w:r>
      <w:r>
        <w:rPr>
          <w:i/>
          <w:iCs/>
        </w:rPr>
        <w:t xml:space="preserve"> Os preços unitários referenciais, as memórias de cálculo e os documentos que lhe dão suporte, com os parâmetros utilizados para a obtenção dos preços e para os respectivos cálculos, devem constar de anexo ao termo de referência,</w:t>
      </w:r>
      <w:r>
        <w:rPr>
          <w:i/>
          <w:iCs/>
          <w:color w:val="FF0000"/>
        </w:rPr>
        <w:t xml:space="preserve"> </w:t>
      </w:r>
      <w:r>
        <w:rPr>
          <w:i/>
          <w:iCs/>
        </w:rPr>
        <w:t xml:space="preserve">nos termos do </w:t>
      </w:r>
      <w:hyperlink r:id="rId77" w:history="1">
        <w:r w:rsidRPr="008745EE">
          <w:rPr>
            <w:rStyle w:val="Hyperlink"/>
            <w:i/>
            <w:iCs/>
          </w:rPr>
          <w:t>art. 9º, IX, da Instrução Normativa Seges/ME nº 81, de 2022</w:t>
        </w:r>
      </w:hyperlink>
      <w:r>
        <w:rPr>
          <w:i/>
          <w:iCs/>
        </w:rPr>
        <w:t xml:space="preserve">. Caso a Administração opte por preservar o sigilo da estimativa do valor da contratação, também deverá ser preservado o sigilo desse anexo. </w:t>
      </w:r>
    </w:p>
    <w:p w14:paraId="467CFF25" w14:textId="77777777" w:rsidR="0082495D" w:rsidRDefault="0082495D" w:rsidP="003C7829">
      <w:pPr>
        <w:pStyle w:val="Textodecomentrio"/>
      </w:pPr>
      <w:r>
        <w:rPr>
          <w:b/>
          <w:bCs/>
          <w:i/>
          <w:iCs/>
        </w:rPr>
        <w:t xml:space="preserve">Nota Explicativa 3: </w:t>
      </w:r>
      <w:r>
        <w:rPr>
          <w:i/>
          <w:iCs/>
        </w:rPr>
        <w:t>Utilizar a redação o item 9.1 na hipótese de licitação em que for adotado o critério de julgamento por menor preço, sem caráter sigiloso.</w:t>
      </w:r>
    </w:p>
  </w:comment>
  <w:comment w:id="47" w:author="Autor" w:initials="A">
    <w:p w14:paraId="063A1CCC" w14:textId="77777777" w:rsidR="0082495D" w:rsidRDefault="0082495D" w:rsidP="004F5A39">
      <w:pPr>
        <w:pStyle w:val="Textodecomentrio"/>
      </w:pPr>
      <w:r>
        <w:rPr>
          <w:rStyle w:val="Refdecomentrio"/>
        </w:rPr>
        <w:annotationRef/>
      </w:r>
      <w:r>
        <w:rPr>
          <w:b/>
          <w:bCs/>
          <w:i/>
          <w:iCs/>
          <w:color w:val="000000"/>
        </w:rPr>
        <w:t xml:space="preserve">Nota Explicativa 1: </w:t>
      </w:r>
      <w:r>
        <w:rPr>
          <w:i/>
          <w:iCs/>
          <w:color w:val="000000"/>
        </w:rPr>
        <w:t>Utilizar a redação do item 9.2 na hipótese de licitação em que for adotado o critério de julgamento por maior desconto.</w:t>
      </w:r>
    </w:p>
  </w:comment>
  <w:comment w:id="48" w:author="Autor" w:initials="A">
    <w:p w14:paraId="164578BC" w14:textId="77777777" w:rsidR="0082495D" w:rsidRDefault="0082495D" w:rsidP="003C7829">
      <w:pPr>
        <w:pStyle w:val="Textodecomentrio"/>
      </w:pPr>
      <w:r>
        <w:rPr>
          <w:rStyle w:val="Refdecomentrio"/>
        </w:rPr>
        <w:annotationRef/>
      </w:r>
      <w:r>
        <w:rPr>
          <w:b/>
          <w:bCs/>
          <w:i/>
          <w:iCs/>
          <w:color w:val="000000"/>
        </w:rPr>
        <w:t>Nota Explicativa 1:</w:t>
      </w:r>
      <w:r>
        <w:rPr>
          <w:i/>
          <w:iCs/>
          <w:color w:val="000000"/>
        </w:rPr>
        <w:t xml:space="preserve"> Utilizar a redação do item 9.3 na hipótese em que for adotado o critério de julgamento por menor preço e caso a Administração opte por preservar a sua estimativa do valor da contratação. Na hipótese de licitação em que for adotado o critério de julgamento por maior desconto, o preço estimado ou o máximo aceitável </w:t>
      </w:r>
      <w:r>
        <w:rPr>
          <w:b/>
          <w:bCs/>
          <w:i/>
          <w:iCs/>
          <w:color w:val="000000"/>
          <w:u w:val="single"/>
        </w:rPr>
        <w:t>não</w:t>
      </w:r>
      <w:r>
        <w:rPr>
          <w:i/>
          <w:iCs/>
          <w:color w:val="000000"/>
        </w:rPr>
        <w:t xml:space="preserve"> poderá ser sigiloso (</w:t>
      </w:r>
      <w:hyperlink r:id="rId78" w:anchor="art24" w:history="1">
        <w:r w:rsidRPr="0082596F">
          <w:rPr>
            <w:rStyle w:val="Hyperlink"/>
            <w:i/>
            <w:iCs/>
          </w:rPr>
          <w:t>art. 24, parágrafo único, da Lei nº 14.133, de 2021</w:t>
        </w:r>
      </w:hyperlink>
      <w:r>
        <w:rPr>
          <w:i/>
          <w:iCs/>
          <w:color w:val="000000"/>
        </w:rPr>
        <w:t xml:space="preserve">, e </w:t>
      </w:r>
      <w:hyperlink r:id="rId79" w:history="1">
        <w:r w:rsidRPr="0082596F">
          <w:rPr>
            <w:rStyle w:val="Hyperlink"/>
            <w:i/>
            <w:iCs/>
          </w:rPr>
          <w:t>Instrução Normativa Seges/ME nº 73, de 2022, art. 12, §3º</w:t>
        </w:r>
      </w:hyperlink>
      <w:r>
        <w:rPr>
          <w:i/>
          <w:iCs/>
          <w:color w:val="000000"/>
        </w:rPr>
        <w:t>)</w:t>
      </w:r>
    </w:p>
  </w:comment>
  <w:comment w:id="49" w:author="Autor" w:initials="A">
    <w:p w14:paraId="2E93BE99" w14:textId="77777777" w:rsidR="0082495D" w:rsidRDefault="0082495D">
      <w:pPr>
        <w:pStyle w:val="Textodecomentrio"/>
      </w:pPr>
      <w:r>
        <w:rPr>
          <w:rStyle w:val="Refdecomentrio"/>
        </w:rPr>
        <w:annotationRef/>
      </w:r>
      <w:r>
        <w:rPr>
          <w:b/>
          <w:bCs/>
          <w:i/>
          <w:iCs/>
          <w:color w:val="000000"/>
        </w:rPr>
        <w:t xml:space="preserve">Nota Explicativa 1: </w:t>
      </w:r>
      <w:r>
        <w:rPr>
          <w:i/>
          <w:iCs/>
          <w:color w:val="000000"/>
        </w:rPr>
        <w:t xml:space="preserve">Em caso de utilização de matriz de alocação de risco, o custo estimado da contratação deve levar em consideração o conjunto de riscos alocados ao contratado, o que naturalmente implicará elevação no custo da contratação (cf. </w:t>
      </w:r>
      <w:hyperlink r:id="rId80" w:history="1">
        <w:r w:rsidRPr="0057098B">
          <w:rPr>
            <w:rStyle w:val="Hyperlink"/>
            <w:i/>
            <w:iCs/>
          </w:rPr>
          <w:t>art. 22, caput, e art. 103, §3º, ambos da Lei n. 14.133, de 2021</w:t>
        </w:r>
      </w:hyperlink>
      <w:r>
        <w:rPr>
          <w:i/>
          <w:iCs/>
          <w:color w:val="000000"/>
        </w:rPr>
        <w:t>).</w:t>
      </w:r>
    </w:p>
    <w:p w14:paraId="06B03827" w14:textId="77777777" w:rsidR="0082495D" w:rsidRDefault="0082495D" w:rsidP="003C7829">
      <w:pPr>
        <w:pStyle w:val="Textodecomentrio"/>
      </w:pPr>
      <w:r>
        <w:rPr>
          <w:b/>
          <w:bCs/>
          <w:i/>
          <w:iCs/>
          <w:color w:val="000000"/>
        </w:rPr>
        <w:t xml:space="preserve">Nota Explicativa 2: </w:t>
      </w:r>
      <w:r>
        <w:rPr>
          <w:i/>
          <w:iCs/>
          <w:color w:val="000000"/>
          <w:u w:val="single"/>
        </w:rPr>
        <w:t>Serviços de Grande Vulto.</w:t>
      </w:r>
      <w:r>
        <w:rPr>
          <w:b/>
          <w:bCs/>
          <w:i/>
          <w:iCs/>
          <w:color w:val="000000"/>
        </w:rPr>
        <w:t xml:space="preserve"> </w:t>
      </w:r>
      <w:r>
        <w:rPr>
          <w:i/>
          <w:iCs/>
          <w:color w:val="000000"/>
        </w:rPr>
        <w:t xml:space="preserve">No caso de serviço cujo valor estimado supere R$ 216.081.640,00 (conforme </w:t>
      </w:r>
      <w:hyperlink r:id="rId81" w:history="1">
        <w:r w:rsidRPr="0057098B">
          <w:rPr>
            <w:rStyle w:val="Hyperlink"/>
            <w:i/>
            <w:iCs/>
          </w:rPr>
          <w:t>art. 6º, inciso XXII, da Lei nº 14.133, de 2021</w:t>
        </w:r>
      </w:hyperlink>
      <w:r>
        <w:rPr>
          <w:i/>
          <w:iCs/>
          <w:color w:val="000000"/>
        </w:rPr>
        <w:t xml:space="preserve">, atualizado pelo </w:t>
      </w:r>
      <w:hyperlink r:id="rId82" w:history="1">
        <w:r w:rsidRPr="0057098B">
          <w:rPr>
            <w:rStyle w:val="Hyperlink"/>
            <w:i/>
            <w:iCs/>
          </w:rPr>
          <w:t>Decreto nº 10.922, de 30 de dezembro de 2021</w:t>
        </w:r>
      </w:hyperlink>
      <w:r>
        <w:rPr>
          <w:i/>
          <w:iCs/>
          <w:color w:val="000000"/>
        </w:rPr>
        <w:t>), será obrigatória a inclusão de disposição no Termo de Referência indicando os termos da Matriz de Risco a ser aposta no edital ou no contrato, conforme art. 22, §3º, da Lei nº 14.133, de 2021.</w:t>
      </w:r>
    </w:p>
  </w:comment>
  <w:comment w:id="50" w:author="Autor" w:initials="A">
    <w:p w14:paraId="51185ABB" w14:textId="77777777" w:rsidR="0082495D" w:rsidRDefault="0082495D">
      <w:pPr>
        <w:pStyle w:val="Textodecomentrio"/>
      </w:pPr>
      <w:r>
        <w:rPr>
          <w:rStyle w:val="Refdecomentrio"/>
        </w:rPr>
        <w:annotationRef/>
      </w:r>
      <w:r>
        <w:rPr>
          <w:b/>
          <w:bCs/>
          <w:i/>
          <w:iCs/>
          <w:color w:val="000000"/>
        </w:rPr>
        <w:t>Nota Explicativa 1:</w:t>
      </w:r>
      <w:r>
        <w:rPr>
          <w:i/>
          <w:iCs/>
          <w:color w:val="000000"/>
        </w:rPr>
        <w:t xml:space="preserve"> O Termo de Referência deverá ser devidamente aprovado pelo ordenador de despesas ou a autoridade competente respectiva, conforme divisão de atribuições de cada órgão.</w:t>
      </w:r>
    </w:p>
    <w:p w14:paraId="2E5DA7BA" w14:textId="77777777" w:rsidR="0082495D" w:rsidRDefault="0082495D">
      <w:pPr>
        <w:pStyle w:val="Textodecomentrio"/>
      </w:pPr>
      <w:r>
        <w:rPr>
          <w:b/>
          <w:bCs/>
          <w:i/>
          <w:iCs/>
          <w:color w:val="000000"/>
        </w:rPr>
        <w:t>Nota Explicativa 2:</w:t>
      </w:r>
      <w:r>
        <w:rPr>
          <w:i/>
          <w:iCs/>
          <w:color w:val="000000"/>
        </w:rPr>
        <w:t xml:space="preserve"> Registre-se que, salvo no caso de elaboração do TR pela própria autoridade competente para aprová-lo, eventual equipe incumbida de tal confecção deve ser designada pela autoridade competente nos termos do </w:t>
      </w:r>
      <w:hyperlink r:id="rId83" w:history="1">
        <w:r w:rsidRPr="00E410CC">
          <w:rPr>
            <w:rStyle w:val="Hyperlink"/>
            <w:i/>
            <w:iCs/>
          </w:rPr>
          <w:t>art. 7º da Lei nº 14.133, de 2021</w:t>
        </w:r>
      </w:hyperlink>
      <w:r>
        <w:rPr>
          <w:i/>
          <w:iCs/>
          <w:color w:val="000000"/>
        </w:rPr>
        <w:t>, incumbindo a esta aferir o cumprimento dos requisitos necessários a esta função.</w:t>
      </w:r>
    </w:p>
    <w:p w14:paraId="59F864B5" w14:textId="77777777" w:rsidR="0082495D" w:rsidRDefault="0082495D">
      <w:pPr>
        <w:pStyle w:val="Textodecomentrio"/>
      </w:pPr>
      <w:r>
        <w:rPr>
          <w:b/>
          <w:bCs/>
          <w:i/>
          <w:iCs/>
          <w:color w:val="000000"/>
        </w:rPr>
        <w:t>Nota Explicativa 3:</w:t>
      </w:r>
      <w:r>
        <w:rPr>
          <w:i/>
          <w:iCs/>
          <w:color w:val="000000"/>
        </w:rPr>
        <w:t xml:space="preserve"> Conforme </w:t>
      </w:r>
      <w:hyperlink r:id="rId84" w:anchor="art8" w:history="1">
        <w:r w:rsidRPr="00E410CC">
          <w:rPr>
            <w:rStyle w:val="Hyperlink"/>
            <w:i/>
            <w:iCs/>
          </w:rPr>
          <w:t>art. 8º da IN Seges/ME nº 81, de 2022</w:t>
        </w:r>
      </w:hyperlink>
      <w:r>
        <w:rPr>
          <w:i/>
          <w:iCs/>
          <w:color w:val="000000"/>
        </w:rPr>
        <w:t xml:space="preserve">, incumbe, conjuntamente, aos servidores da área técnica e da requisitante, designados na forma do </w:t>
      </w:r>
      <w:hyperlink r:id="rId85" w:history="1">
        <w:r w:rsidRPr="00E410CC">
          <w:rPr>
            <w:rStyle w:val="Hyperlink"/>
            <w:i/>
            <w:iCs/>
          </w:rPr>
          <w:t>art. 7º da Lei nº 14.133, de 2021</w:t>
        </w:r>
      </w:hyperlink>
      <w:r>
        <w:rPr>
          <w:i/>
          <w:iCs/>
          <w:color w:val="000000"/>
        </w:rPr>
        <w:t xml:space="preserve"> pelas respectivas autoridades, a elaboração do Termo de Referência, podendo a mesma área cumprir ambos os papéis (art. 3º, § 2º da IN). Uma outra possibilidade é o uso de uma Equipe de Planejamento da Contratação, caso haja alguma designada para tal fim.</w:t>
      </w:r>
    </w:p>
    <w:p w14:paraId="1EA2FD52" w14:textId="77777777" w:rsidR="0082495D" w:rsidRDefault="0082495D" w:rsidP="003C7829">
      <w:pPr>
        <w:pStyle w:val="Textodecomentrio"/>
      </w:pPr>
      <w:r>
        <w:rPr>
          <w:b/>
          <w:bCs/>
          <w:i/>
          <w:iCs/>
          <w:color w:val="000000"/>
        </w:rPr>
        <w:t>Nota Explicativa 4:</w:t>
      </w:r>
      <w:r>
        <w:rPr>
          <w:i/>
          <w:iCs/>
          <w:color w:val="000000"/>
        </w:rPr>
        <w:t xml:space="preserve"> Atentar para a necessidade de avaliação quanto à pertinência de classificar o TR nos termos da </w:t>
      </w:r>
      <w:hyperlink r:id="rId86" w:history="1">
        <w:r w:rsidRPr="00E410CC">
          <w:rPr>
            <w:rStyle w:val="Hyperlink"/>
            <w:i/>
            <w:iCs/>
          </w:rPr>
          <w:t>Lei n. 12.527, de 2011</w:t>
        </w:r>
      </w:hyperlink>
      <w:r>
        <w:rPr>
          <w:i/>
          <w:iCs/>
          <w:color w:val="000000"/>
        </w:rPr>
        <w:t xml:space="preserve"> (Lei de Acesso à Informação), conforme previsão do </w:t>
      </w:r>
      <w:hyperlink r:id="rId87" w:anchor="art10" w:history="1">
        <w:r w:rsidRPr="00E410CC">
          <w:rPr>
            <w:rStyle w:val="Hyperlink"/>
            <w:i/>
            <w:iCs/>
          </w:rPr>
          <w:t>artigo 10 da Instrução Normativa n. 81, de 2022.</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20F313" w15:done="0"/>
  <w15:commentEx w15:paraId="7B9761E0" w15:done="0"/>
  <w15:commentEx w15:paraId="606074B5" w15:done="0"/>
  <w15:commentEx w15:paraId="08204BAB" w15:done="0"/>
  <w15:commentEx w15:paraId="7CF45C2A" w15:done="0"/>
  <w15:commentEx w15:paraId="407EB1D8" w15:done="0"/>
  <w15:commentEx w15:paraId="3248B706" w15:done="0"/>
  <w15:commentEx w15:paraId="0C0EFA32" w15:done="0"/>
  <w15:commentEx w15:paraId="7071CACC" w15:done="0"/>
  <w15:commentEx w15:paraId="62ACE3FE" w15:done="0"/>
  <w15:commentEx w15:paraId="26B86719" w15:done="0"/>
  <w15:commentEx w15:paraId="4C7762F3" w15:done="0"/>
  <w15:commentEx w15:paraId="2F25B972" w15:done="0"/>
  <w15:commentEx w15:paraId="07186567" w15:done="0"/>
  <w15:commentEx w15:paraId="5B45150B" w15:done="0"/>
  <w15:commentEx w15:paraId="64844ECC" w15:done="0"/>
  <w15:commentEx w15:paraId="26C1822E" w15:done="0"/>
  <w15:commentEx w15:paraId="1A6D9CDF" w15:done="0"/>
  <w15:commentEx w15:paraId="2C379C7C" w15:done="0"/>
  <w15:commentEx w15:paraId="092F87CA" w15:done="0"/>
  <w15:commentEx w15:paraId="560C693C" w15:done="0"/>
  <w15:commentEx w15:paraId="20B64CE8" w15:done="0"/>
  <w15:commentEx w15:paraId="21A6EDE7" w15:done="0"/>
  <w15:commentEx w15:paraId="27463262" w15:done="0"/>
  <w15:commentEx w15:paraId="1565A6F0" w15:done="0"/>
  <w15:commentEx w15:paraId="3E0ECDC4" w15:done="0"/>
  <w15:commentEx w15:paraId="4670885F" w15:done="0"/>
  <w15:commentEx w15:paraId="359ED848" w15:done="0"/>
  <w15:commentEx w15:paraId="231DEFC3" w15:done="0"/>
  <w15:commentEx w15:paraId="1AC1D90D" w15:done="0"/>
  <w15:commentEx w15:paraId="7351B2CC" w15:done="0"/>
  <w15:commentEx w15:paraId="647F39C0" w15:done="0"/>
  <w15:commentEx w15:paraId="6A59CE61" w15:done="0"/>
  <w15:commentEx w15:paraId="611413B8" w15:done="0"/>
  <w15:commentEx w15:paraId="385A6F13" w15:done="0"/>
  <w15:commentEx w15:paraId="69461A6F" w15:done="0"/>
  <w15:commentEx w15:paraId="43DC4081" w15:done="0"/>
  <w15:commentEx w15:paraId="1C82CC9A" w15:done="0"/>
  <w15:commentEx w15:paraId="6DA9F3BE" w15:done="0"/>
  <w15:commentEx w15:paraId="467CFF25" w15:done="0"/>
  <w15:commentEx w15:paraId="063A1CCC" w15:done="0"/>
  <w15:commentEx w15:paraId="164578BC" w15:done="0"/>
  <w15:commentEx w15:paraId="06B03827" w15:done="0"/>
  <w15:commentEx w15:paraId="1EA2F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20F313" w16cid:durableId="274DB993"/>
  <w16cid:commentId w16cid:paraId="7B9761E0" w16cid:durableId="274DBA97"/>
  <w16cid:commentId w16cid:paraId="606074B5" w16cid:durableId="274DBE55"/>
  <w16cid:commentId w16cid:paraId="08204BAB" w16cid:durableId="274DC079"/>
  <w16cid:commentId w16cid:paraId="7CF45C2A" w16cid:durableId="274DCABE"/>
  <w16cid:commentId w16cid:paraId="407EB1D8" w16cid:durableId="274DCEC1"/>
  <w16cid:commentId w16cid:paraId="3248B706" w16cid:durableId="274DDAC1"/>
  <w16cid:commentId w16cid:paraId="0C0EFA32" w16cid:durableId="274DDB12"/>
  <w16cid:commentId w16cid:paraId="7071CACC" w16cid:durableId="22145EEB"/>
  <w16cid:commentId w16cid:paraId="62ACE3FE" w16cid:durableId="274DDCEE"/>
  <w16cid:commentId w16cid:paraId="26B86719" w16cid:durableId="274DDD9E"/>
  <w16cid:commentId w16cid:paraId="4C7762F3" w16cid:durableId="274DDDB2"/>
  <w16cid:commentId w16cid:paraId="2F25B972" w16cid:durableId="274DDF21"/>
  <w16cid:commentId w16cid:paraId="07186567" w16cid:durableId="274DDF3E"/>
  <w16cid:commentId w16cid:paraId="5B45150B" w16cid:durableId="274DDF5F"/>
  <w16cid:commentId w16cid:paraId="64844ECC" w16cid:durableId="274DDF73"/>
  <w16cid:commentId w16cid:paraId="26C1822E" w16cid:durableId="274DE03D"/>
  <w16cid:commentId w16cid:paraId="1A6D9CDF" w16cid:durableId="29DFAC2D"/>
  <w16cid:commentId w16cid:paraId="2C379C7C" w16cid:durableId="66C0B972"/>
  <w16cid:commentId w16cid:paraId="092F87CA" w16cid:durableId="681C888D"/>
  <w16cid:commentId w16cid:paraId="560C693C" w16cid:durableId="274DE53B"/>
  <w16cid:commentId w16cid:paraId="20B64CE8" w16cid:durableId="274DE60B"/>
  <w16cid:commentId w16cid:paraId="21A6EDE7" w16cid:durableId="274DE637"/>
  <w16cid:commentId w16cid:paraId="27463262" w16cid:durableId="274DE987"/>
  <w16cid:commentId w16cid:paraId="1565A6F0" w16cid:durableId="274DE9B8"/>
  <w16cid:commentId w16cid:paraId="3E0ECDC4" w16cid:durableId="05A6E407"/>
  <w16cid:commentId w16cid:paraId="4670885F" w16cid:durableId="274EA1C1"/>
  <w16cid:commentId w16cid:paraId="359ED848" w16cid:durableId="274EA336"/>
  <w16cid:commentId w16cid:paraId="231DEFC3" w16cid:durableId="274EACB7"/>
  <w16cid:commentId w16cid:paraId="1AC1D90D" w16cid:durableId="274EB02E"/>
  <w16cid:commentId w16cid:paraId="7351B2CC" w16cid:durableId="274EB08B"/>
  <w16cid:commentId w16cid:paraId="647F39C0" w16cid:durableId="274EB153"/>
  <w16cid:commentId w16cid:paraId="6A59CE61" w16cid:durableId="274EB249"/>
  <w16cid:commentId w16cid:paraId="611413B8" w16cid:durableId="274EB31F"/>
  <w16cid:commentId w16cid:paraId="385A6F13" w16cid:durableId="274EB33E"/>
  <w16cid:commentId w16cid:paraId="69461A6F" w16cid:durableId="65D40D4A"/>
  <w16cid:commentId w16cid:paraId="43DC4081" w16cid:durableId="274EB449"/>
  <w16cid:commentId w16cid:paraId="1C82CC9A" w16cid:durableId="274EB505"/>
  <w16cid:commentId w16cid:paraId="6DA9F3BE" w16cid:durableId="274EB5C6"/>
  <w16cid:commentId w16cid:paraId="467CFF25" w16cid:durableId="274ECB5D"/>
  <w16cid:commentId w16cid:paraId="063A1CCC" w16cid:durableId="274ECB80"/>
  <w16cid:commentId w16cid:paraId="164578BC" w16cid:durableId="274ECF29"/>
  <w16cid:commentId w16cid:paraId="06B03827" w16cid:durableId="274ED042"/>
  <w16cid:commentId w16cid:paraId="1EA2FD52" w16cid:durableId="274ED1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C727D" w14:textId="77777777" w:rsidR="00E93353" w:rsidRDefault="00E93353">
      <w:r>
        <w:separator/>
      </w:r>
    </w:p>
  </w:endnote>
  <w:endnote w:type="continuationSeparator" w:id="0">
    <w:p w14:paraId="4F6895CE" w14:textId="77777777" w:rsidR="00E93353" w:rsidRDefault="00E93353">
      <w:r>
        <w:continuationSeparator/>
      </w:r>
    </w:p>
  </w:endnote>
  <w:endnote w:type="continuationNotice" w:id="1">
    <w:p w14:paraId="3505CA86" w14:textId="77777777" w:rsidR="00E93353" w:rsidRDefault="00E93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panose1 w:val="02020603050405020304"/>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2"/>
        <w:szCs w:val="22"/>
      </w:rPr>
      <w:id w:val="-804229212"/>
      <w:docPartObj>
        <w:docPartGallery w:val="Page Numbers (Bottom of Page)"/>
        <w:docPartUnique/>
      </w:docPartObj>
    </w:sdtPr>
    <w:sdtContent>
      <w:sdt>
        <w:sdtPr>
          <w:rPr>
            <w:rFonts w:ascii="Times New Roman" w:hAnsi="Times New Roman" w:cs="Times New Roman"/>
            <w:sz w:val="22"/>
            <w:szCs w:val="22"/>
          </w:rPr>
          <w:id w:val="-1769616900"/>
          <w:docPartObj>
            <w:docPartGallery w:val="Page Numbers (Top of Page)"/>
            <w:docPartUnique/>
          </w:docPartObj>
        </w:sdtPr>
        <w:sdtContent>
          <w:p w14:paraId="434817BD" w14:textId="570881A9" w:rsidR="00B96E84" w:rsidRPr="00B96E84" w:rsidRDefault="00B96E84">
            <w:pPr>
              <w:pStyle w:val="Rodap"/>
              <w:jc w:val="right"/>
              <w:rPr>
                <w:rFonts w:ascii="Times New Roman" w:hAnsi="Times New Roman" w:cs="Times New Roman"/>
                <w:sz w:val="22"/>
                <w:szCs w:val="22"/>
              </w:rPr>
            </w:pPr>
            <w:r w:rsidRPr="00B96E84">
              <w:rPr>
                <w:rFonts w:ascii="Times New Roman" w:hAnsi="Times New Roman" w:cs="Times New Roman"/>
                <w:sz w:val="22"/>
                <w:szCs w:val="22"/>
              </w:rPr>
              <w:t xml:space="preserve">Página </w:t>
            </w:r>
            <w:r w:rsidRPr="00B96E84">
              <w:rPr>
                <w:rFonts w:ascii="Times New Roman" w:hAnsi="Times New Roman" w:cs="Times New Roman"/>
                <w:b/>
                <w:bCs/>
                <w:sz w:val="22"/>
                <w:szCs w:val="22"/>
              </w:rPr>
              <w:fldChar w:fldCharType="begin"/>
            </w:r>
            <w:r w:rsidRPr="00B96E84">
              <w:rPr>
                <w:rFonts w:ascii="Times New Roman" w:hAnsi="Times New Roman" w:cs="Times New Roman"/>
                <w:b/>
                <w:bCs/>
                <w:sz w:val="22"/>
                <w:szCs w:val="22"/>
              </w:rPr>
              <w:instrText>PAGE</w:instrText>
            </w:r>
            <w:r w:rsidRPr="00B96E84">
              <w:rPr>
                <w:rFonts w:ascii="Times New Roman" w:hAnsi="Times New Roman" w:cs="Times New Roman"/>
                <w:b/>
                <w:bCs/>
                <w:sz w:val="22"/>
                <w:szCs w:val="22"/>
              </w:rPr>
              <w:fldChar w:fldCharType="separate"/>
            </w:r>
            <w:r w:rsidRPr="00B96E84">
              <w:rPr>
                <w:rFonts w:ascii="Times New Roman" w:hAnsi="Times New Roman" w:cs="Times New Roman"/>
                <w:b/>
                <w:bCs/>
                <w:sz w:val="22"/>
                <w:szCs w:val="22"/>
              </w:rPr>
              <w:t>2</w:t>
            </w:r>
            <w:r w:rsidRPr="00B96E84">
              <w:rPr>
                <w:rFonts w:ascii="Times New Roman" w:hAnsi="Times New Roman" w:cs="Times New Roman"/>
                <w:b/>
                <w:bCs/>
                <w:sz w:val="22"/>
                <w:szCs w:val="22"/>
              </w:rPr>
              <w:fldChar w:fldCharType="end"/>
            </w:r>
            <w:r w:rsidRPr="00B96E84">
              <w:rPr>
                <w:rFonts w:ascii="Times New Roman" w:hAnsi="Times New Roman" w:cs="Times New Roman"/>
                <w:sz w:val="22"/>
                <w:szCs w:val="22"/>
              </w:rPr>
              <w:t xml:space="preserve"> de </w:t>
            </w:r>
            <w:r w:rsidRPr="00B96E84">
              <w:rPr>
                <w:rFonts w:ascii="Times New Roman" w:hAnsi="Times New Roman" w:cs="Times New Roman"/>
                <w:b/>
                <w:bCs/>
                <w:sz w:val="22"/>
                <w:szCs w:val="22"/>
              </w:rPr>
              <w:fldChar w:fldCharType="begin"/>
            </w:r>
            <w:r w:rsidRPr="00B96E84">
              <w:rPr>
                <w:rFonts w:ascii="Times New Roman" w:hAnsi="Times New Roman" w:cs="Times New Roman"/>
                <w:b/>
                <w:bCs/>
                <w:sz w:val="22"/>
                <w:szCs w:val="22"/>
              </w:rPr>
              <w:instrText>NUMPAGES</w:instrText>
            </w:r>
            <w:r w:rsidRPr="00B96E84">
              <w:rPr>
                <w:rFonts w:ascii="Times New Roman" w:hAnsi="Times New Roman" w:cs="Times New Roman"/>
                <w:b/>
                <w:bCs/>
                <w:sz w:val="22"/>
                <w:szCs w:val="22"/>
              </w:rPr>
              <w:fldChar w:fldCharType="separate"/>
            </w:r>
            <w:r w:rsidRPr="00B96E84">
              <w:rPr>
                <w:rFonts w:ascii="Times New Roman" w:hAnsi="Times New Roman" w:cs="Times New Roman"/>
                <w:b/>
                <w:bCs/>
                <w:sz w:val="22"/>
                <w:szCs w:val="22"/>
              </w:rPr>
              <w:t>2</w:t>
            </w:r>
            <w:r w:rsidRPr="00B96E84">
              <w:rPr>
                <w:rFonts w:ascii="Times New Roman" w:hAnsi="Times New Roman" w:cs="Times New Roman"/>
                <w:b/>
                <w:bCs/>
                <w:sz w:val="22"/>
                <w:szCs w:val="22"/>
              </w:rPr>
              <w:fldChar w:fldCharType="end"/>
            </w:r>
          </w:p>
        </w:sdtContent>
      </w:sdt>
    </w:sdtContent>
  </w:sdt>
  <w:p w14:paraId="7E6308F2" w14:textId="73E1414E" w:rsidR="0082495D" w:rsidRPr="00842420" w:rsidRDefault="0082495D" w:rsidP="00225E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47AD" w14:textId="77777777" w:rsidR="00E93353" w:rsidRDefault="00E93353">
      <w:r>
        <w:separator/>
      </w:r>
    </w:p>
  </w:footnote>
  <w:footnote w:type="continuationSeparator" w:id="0">
    <w:p w14:paraId="0A95F13C" w14:textId="77777777" w:rsidR="00E93353" w:rsidRDefault="00E93353">
      <w:r>
        <w:continuationSeparator/>
      </w:r>
    </w:p>
  </w:footnote>
  <w:footnote w:type="continuationNotice" w:id="1">
    <w:p w14:paraId="7E8676D6" w14:textId="77777777" w:rsidR="00E93353" w:rsidRDefault="00E933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0642" w14:textId="73132F8A" w:rsidR="00B96E84" w:rsidRDefault="00B96E84" w:rsidP="00B96E84">
    <w:pPr>
      <w:spacing w:before="120" w:after="120"/>
      <w:jc w:val="center"/>
      <w:rPr>
        <w:rFonts w:ascii="Times New Roman" w:hAnsi="Times New Roman" w:cs="Times New Roman"/>
        <w:b/>
        <w:iCs/>
      </w:rPr>
    </w:pPr>
    <w:r>
      <w:rPr>
        <w:rFonts w:ascii="Times New Roman" w:hAnsi="Times New Roman" w:cs="Times New Roman"/>
        <w:b/>
        <w:noProof/>
      </w:rPr>
      <w:drawing>
        <wp:inline distT="0" distB="0" distL="0" distR="0" wp14:anchorId="695CA565" wp14:editId="2D1E00D8">
          <wp:extent cx="647700" cy="647700"/>
          <wp:effectExtent l="0" t="0" r="0" b="0"/>
          <wp:docPr id="16120463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AA768F8" w14:textId="4213AF81" w:rsidR="00B96E84" w:rsidRPr="00B96E84" w:rsidRDefault="00B96E84" w:rsidP="00B96E84">
    <w:pPr>
      <w:spacing w:before="120" w:after="120"/>
      <w:jc w:val="center"/>
      <w:rPr>
        <w:rFonts w:ascii="Times New Roman" w:hAnsi="Times New Roman" w:cs="Times New Roman"/>
        <w:sz w:val="22"/>
        <w:szCs w:val="22"/>
      </w:rPr>
    </w:pPr>
    <w:r>
      <w:rPr>
        <w:rFonts w:ascii="Times New Roman" w:hAnsi="Times New Roman" w:cs="Times New Roman"/>
        <w:b/>
        <w:iCs/>
        <w:sz w:val="22"/>
        <w:szCs w:val="22"/>
      </w:rPr>
      <w:t>PREFEITURA MUNICIPAL DE CARMO DO PARANAÍBA-MG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F990135"/>
    <w:multiLevelType w:val="multilevel"/>
    <w:tmpl w:val="B86EF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2B25C"/>
    <w:multiLevelType w:val="multilevel"/>
    <w:tmpl w:val="8D52FFCE"/>
    <w:lvl w:ilvl="0">
      <w:start w:val="1"/>
      <w:numFmt w:val="decimal"/>
      <w:lvlText w:val="%1."/>
      <w:lvlJc w:val="left"/>
      <w:pPr>
        <w:ind w:left="720" w:hanging="360"/>
      </w:pPr>
    </w:lvl>
    <w:lvl w:ilvl="1">
      <w:start w:val="1"/>
      <w:numFmt w:val="lowerLetter"/>
      <w:lvlText w:val="%2."/>
      <w:lvlJc w:val="left"/>
      <w:pPr>
        <w:ind w:left="1440" w:hanging="360"/>
      </w:pPr>
    </w:lvl>
    <w:lvl w:ilvl="2">
      <w:start w:val="7"/>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5C100D"/>
    <w:multiLevelType w:val="multilevel"/>
    <w:tmpl w:val="CE20486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3198" w:hanging="504"/>
      </w:pPr>
      <w:rPr>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EBB0B0"/>
    <w:multiLevelType w:val="multilevel"/>
    <w:tmpl w:val="19485398"/>
    <w:lvl w:ilvl="0">
      <w:start w:val="1"/>
      <w:numFmt w:val="decimal"/>
      <w:lvlText w:val="%1."/>
      <w:lvlJc w:val="left"/>
      <w:pPr>
        <w:ind w:left="720" w:hanging="360"/>
      </w:pPr>
    </w:lvl>
    <w:lvl w:ilvl="1">
      <w:start w:val="1"/>
      <w:numFmt w:val="lowerLetter"/>
      <w:lvlText w:val="%2."/>
      <w:lvlJc w:val="left"/>
      <w:pPr>
        <w:ind w:left="1440" w:hanging="360"/>
      </w:pPr>
    </w:lvl>
    <w:lvl w:ilvl="2">
      <w:start w:val="5"/>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91757A"/>
    <w:multiLevelType w:val="hybridMultilevel"/>
    <w:tmpl w:val="1270C3B8"/>
    <w:lvl w:ilvl="0" w:tplc="69E4F120">
      <w:start w:val="1"/>
      <w:numFmt w:val="upperRoman"/>
      <w:lvlText w:val="%1)"/>
      <w:lvlJc w:val="left"/>
      <w:pPr>
        <w:ind w:left="3555" w:hanging="72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9" w15:restartNumberingAfterBreak="0">
    <w:nsid w:val="4A14A746"/>
    <w:multiLevelType w:val="multilevel"/>
    <w:tmpl w:val="4C8880B0"/>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1CE1B71"/>
    <w:multiLevelType w:val="multilevel"/>
    <w:tmpl w:val="B43E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2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4" w15:restartNumberingAfterBreak="0">
    <w:nsid w:val="7643ADE4"/>
    <w:multiLevelType w:val="multilevel"/>
    <w:tmpl w:val="D2300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F7F08FF"/>
    <w:multiLevelType w:val="hybridMultilevel"/>
    <w:tmpl w:val="F40CF162"/>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num w:numId="1" w16cid:durableId="1144157948">
    <w:abstractNumId w:val="14"/>
  </w:num>
  <w:num w:numId="2" w16cid:durableId="1334379464">
    <w:abstractNumId w:val="3"/>
  </w:num>
  <w:num w:numId="3" w16cid:durableId="637295981">
    <w:abstractNumId w:val="0"/>
  </w:num>
  <w:num w:numId="4" w16cid:durableId="1407722892">
    <w:abstractNumId w:val="13"/>
  </w:num>
  <w:num w:numId="5" w16cid:durableId="720596031">
    <w:abstractNumId w:val="15"/>
  </w:num>
  <w:num w:numId="6" w16cid:durableId="675771845">
    <w:abstractNumId w:val="7"/>
  </w:num>
  <w:num w:numId="7" w16cid:durableId="1430197484">
    <w:abstractNumId w:val="5"/>
  </w:num>
  <w:num w:numId="8" w16cid:durableId="486164377">
    <w:abstractNumId w:val="10"/>
  </w:num>
  <w:num w:numId="9" w16cid:durableId="830802368">
    <w:abstractNumId w:val="11"/>
  </w:num>
  <w:num w:numId="10" w16cid:durableId="473763523">
    <w:abstractNumId w:val="8"/>
  </w:num>
  <w:num w:numId="11" w16cid:durableId="438764997">
    <w:abstractNumId w:val="16"/>
  </w:num>
  <w:num w:numId="12" w16cid:durableId="752749735">
    <w:abstractNumId w:val="2"/>
  </w:num>
  <w:num w:numId="13" w16cid:durableId="747927386">
    <w:abstractNumId w:val="9"/>
  </w:num>
  <w:num w:numId="14" w16cid:durableId="983630723">
    <w:abstractNumId w:val="4"/>
  </w:num>
  <w:num w:numId="15" w16cid:durableId="684331011">
    <w:abstractNumId w:val="12"/>
  </w:num>
  <w:num w:numId="16" w16cid:durableId="1010257600">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9C6"/>
    <w:rsid w:val="0000236D"/>
    <w:rsid w:val="00003033"/>
    <w:rsid w:val="00003298"/>
    <w:rsid w:val="00003B6A"/>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0B2A"/>
    <w:rsid w:val="000318BA"/>
    <w:rsid w:val="00031DBE"/>
    <w:rsid w:val="00031E06"/>
    <w:rsid w:val="000321F5"/>
    <w:rsid w:val="000322A8"/>
    <w:rsid w:val="00032EA8"/>
    <w:rsid w:val="000335F5"/>
    <w:rsid w:val="00033DA9"/>
    <w:rsid w:val="00033E86"/>
    <w:rsid w:val="000340B8"/>
    <w:rsid w:val="00034A29"/>
    <w:rsid w:val="00034FD6"/>
    <w:rsid w:val="000350C0"/>
    <w:rsid w:val="00035D80"/>
    <w:rsid w:val="00036536"/>
    <w:rsid w:val="00036982"/>
    <w:rsid w:val="00036D9C"/>
    <w:rsid w:val="00036DF4"/>
    <w:rsid w:val="000373BF"/>
    <w:rsid w:val="0003743B"/>
    <w:rsid w:val="00037B74"/>
    <w:rsid w:val="00037C97"/>
    <w:rsid w:val="00037CFD"/>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8B3"/>
    <w:rsid w:val="00044685"/>
    <w:rsid w:val="0004478F"/>
    <w:rsid w:val="00044C8C"/>
    <w:rsid w:val="00044CF4"/>
    <w:rsid w:val="000452C7"/>
    <w:rsid w:val="0004586D"/>
    <w:rsid w:val="0004587A"/>
    <w:rsid w:val="00045EE0"/>
    <w:rsid w:val="00047734"/>
    <w:rsid w:val="00047ADC"/>
    <w:rsid w:val="00047D73"/>
    <w:rsid w:val="00050015"/>
    <w:rsid w:val="000501A4"/>
    <w:rsid w:val="000502FB"/>
    <w:rsid w:val="00050712"/>
    <w:rsid w:val="00050CA9"/>
    <w:rsid w:val="00050EA0"/>
    <w:rsid w:val="00051312"/>
    <w:rsid w:val="00051762"/>
    <w:rsid w:val="00051782"/>
    <w:rsid w:val="000518EF"/>
    <w:rsid w:val="00051ABE"/>
    <w:rsid w:val="00051E1B"/>
    <w:rsid w:val="00051F02"/>
    <w:rsid w:val="00052048"/>
    <w:rsid w:val="000526DD"/>
    <w:rsid w:val="00052F23"/>
    <w:rsid w:val="00053303"/>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86C"/>
    <w:rsid w:val="00061DA5"/>
    <w:rsid w:val="0006239C"/>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455C"/>
    <w:rsid w:val="000748E5"/>
    <w:rsid w:val="0007495A"/>
    <w:rsid w:val="0007625C"/>
    <w:rsid w:val="00076CBC"/>
    <w:rsid w:val="0007709E"/>
    <w:rsid w:val="00077127"/>
    <w:rsid w:val="000771B9"/>
    <w:rsid w:val="000779C7"/>
    <w:rsid w:val="00077F21"/>
    <w:rsid w:val="00080710"/>
    <w:rsid w:val="00080B53"/>
    <w:rsid w:val="00080DD9"/>
    <w:rsid w:val="00081098"/>
    <w:rsid w:val="00081282"/>
    <w:rsid w:val="00081A0F"/>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5257"/>
    <w:rsid w:val="000967EB"/>
    <w:rsid w:val="00096B41"/>
    <w:rsid w:val="000978DD"/>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AF5"/>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618"/>
    <w:rsid w:val="000B283A"/>
    <w:rsid w:val="000B3B09"/>
    <w:rsid w:val="000B488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010"/>
    <w:rsid w:val="000C7B49"/>
    <w:rsid w:val="000C7FA6"/>
    <w:rsid w:val="000C7FFC"/>
    <w:rsid w:val="000D017E"/>
    <w:rsid w:val="000D239E"/>
    <w:rsid w:val="000D294B"/>
    <w:rsid w:val="000D2A6B"/>
    <w:rsid w:val="000D2AC3"/>
    <w:rsid w:val="000D3590"/>
    <w:rsid w:val="000D4159"/>
    <w:rsid w:val="000D4D3E"/>
    <w:rsid w:val="000D5774"/>
    <w:rsid w:val="000D5CAD"/>
    <w:rsid w:val="000D5EBE"/>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6B74"/>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B7B"/>
    <w:rsid w:val="000F4F96"/>
    <w:rsid w:val="000F5A07"/>
    <w:rsid w:val="000F68B7"/>
    <w:rsid w:val="001003FA"/>
    <w:rsid w:val="0010044D"/>
    <w:rsid w:val="0010051D"/>
    <w:rsid w:val="00100606"/>
    <w:rsid w:val="00100990"/>
    <w:rsid w:val="0010099D"/>
    <w:rsid w:val="00100BD1"/>
    <w:rsid w:val="00100D91"/>
    <w:rsid w:val="001011D5"/>
    <w:rsid w:val="00101369"/>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5D3"/>
    <w:rsid w:val="00122C50"/>
    <w:rsid w:val="00122CF4"/>
    <w:rsid w:val="00123693"/>
    <w:rsid w:val="001243BC"/>
    <w:rsid w:val="00124736"/>
    <w:rsid w:val="00124990"/>
    <w:rsid w:val="00124A63"/>
    <w:rsid w:val="00124F89"/>
    <w:rsid w:val="00124FB7"/>
    <w:rsid w:val="0012561C"/>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2A28"/>
    <w:rsid w:val="00133148"/>
    <w:rsid w:val="00133A1F"/>
    <w:rsid w:val="0013405D"/>
    <w:rsid w:val="001342C0"/>
    <w:rsid w:val="00134694"/>
    <w:rsid w:val="001349B8"/>
    <w:rsid w:val="00134FE4"/>
    <w:rsid w:val="0013520A"/>
    <w:rsid w:val="001352C3"/>
    <w:rsid w:val="00135710"/>
    <w:rsid w:val="001357D7"/>
    <w:rsid w:val="00135CCD"/>
    <w:rsid w:val="00136255"/>
    <w:rsid w:val="00136D43"/>
    <w:rsid w:val="0013709F"/>
    <w:rsid w:val="00137BE7"/>
    <w:rsid w:val="00137F60"/>
    <w:rsid w:val="00140037"/>
    <w:rsid w:val="0014004B"/>
    <w:rsid w:val="001400AB"/>
    <w:rsid w:val="00140584"/>
    <w:rsid w:val="00140A41"/>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2D4F"/>
    <w:rsid w:val="00153268"/>
    <w:rsid w:val="0015330F"/>
    <w:rsid w:val="0015394F"/>
    <w:rsid w:val="00153ABA"/>
    <w:rsid w:val="00153E25"/>
    <w:rsid w:val="00154505"/>
    <w:rsid w:val="001547A5"/>
    <w:rsid w:val="00154B86"/>
    <w:rsid w:val="00154BF4"/>
    <w:rsid w:val="00155CC9"/>
    <w:rsid w:val="00155D25"/>
    <w:rsid w:val="001562A8"/>
    <w:rsid w:val="00156349"/>
    <w:rsid w:val="0015684D"/>
    <w:rsid w:val="00156C74"/>
    <w:rsid w:val="00156E90"/>
    <w:rsid w:val="00157474"/>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E30"/>
    <w:rsid w:val="00185F3B"/>
    <w:rsid w:val="0018613B"/>
    <w:rsid w:val="001874F4"/>
    <w:rsid w:val="00187867"/>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2C"/>
    <w:rsid w:val="001A1138"/>
    <w:rsid w:val="001A13FA"/>
    <w:rsid w:val="001A1732"/>
    <w:rsid w:val="001A20E8"/>
    <w:rsid w:val="001A2CE9"/>
    <w:rsid w:val="001A3153"/>
    <w:rsid w:val="001A3A05"/>
    <w:rsid w:val="001A3ADF"/>
    <w:rsid w:val="001A3E18"/>
    <w:rsid w:val="001A40A3"/>
    <w:rsid w:val="001A43DE"/>
    <w:rsid w:val="001A459B"/>
    <w:rsid w:val="001A4748"/>
    <w:rsid w:val="001A570F"/>
    <w:rsid w:val="001A603A"/>
    <w:rsid w:val="001A6F4B"/>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52B"/>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96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34C"/>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5CA"/>
    <w:rsid w:val="0021698A"/>
    <w:rsid w:val="00216AA5"/>
    <w:rsid w:val="00220307"/>
    <w:rsid w:val="00220365"/>
    <w:rsid w:val="00220D79"/>
    <w:rsid w:val="00220FFE"/>
    <w:rsid w:val="00221BA5"/>
    <w:rsid w:val="002226F5"/>
    <w:rsid w:val="00222980"/>
    <w:rsid w:val="0022333F"/>
    <w:rsid w:val="00223621"/>
    <w:rsid w:val="00223D02"/>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5B03"/>
    <w:rsid w:val="00236150"/>
    <w:rsid w:val="00236166"/>
    <w:rsid w:val="00236A67"/>
    <w:rsid w:val="00236EF6"/>
    <w:rsid w:val="00240B17"/>
    <w:rsid w:val="00240E5B"/>
    <w:rsid w:val="00241680"/>
    <w:rsid w:val="00241D50"/>
    <w:rsid w:val="00241D78"/>
    <w:rsid w:val="002430F2"/>
    <w:rsid w:val="0024516A"/>
    <w:rsid w:val="00245337"/>
    <w:rsid w:val="002457A5"/>
    <w:rsid w:val="00245C2C"/>
    <w:rsid w:val="002463C0"/>
    <w:rsid w:val="002463E2"/>
    <w:rsid w:val="002463FA"/>
    <w:rsid w:val="00246DAE"/>
    <w:rsid w:val="00247A28"/>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0DE"/>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68C6"/>
    <w:rsid w:val="00267125"/>
    <w:rsid w:val="00267178"/>
    <w:rsid w:val="0026767C"/>
    <w:rsid w:val="00267993"/>
    <w:rsid w:val="00267B22"/>
    <w:rsid w:val="0027097C"/>
    <w:rsid w:val="002711B5"/>
    <w:rsid w:val="00271CB6"/>
    <w:rsid w:val="00271E5A"/>
    <w:rsid w:val="002722EA"/>
    <w:rsid w:val="0027248A"/>
    <w:rsid w:val="00272763"/>
    <w:rsid w:val="00272E2D"/>
    <w:rsid w:val="0027301A"/>
    <w:rsid w:val="002735FF"/>
    <w:rsid w:val="00273748"/>
    <w:rsid w:val="00273809"/>
    <w:rsid w:val="0027381F"/>
    <w:rsid w:val="002743CC"/>
    <w:rsid w:val="002744AA"/>
    <w:rsid w:val="00274FAF"/>
    <w:rsid w:val="00276ECC"/>
    <w:rsid w:val="00277FA1"/>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1CA"/>
    <w:rsid w:val="0029332D"/>
    <w:rsid w:val="0029345B"/>
    <w:rsid w:val="00293786"/>
    <w:rsid w:val="002937D4"/>
    <w:rsid w:val="00293AE8"/>
    <w:rsid w:val="00293D30"/>
    <w:rsid w:val="00293FFC"/>
    <w:rsid w:val="00294348"/>
    <w:rsid w:val="00294C1A"/>
    <w:rsid w:val="00294F3F"/>
    <w:rsid w:val="002950EF"/>
    <w:rsid w:val="00295EB3"/>
    <w:rsid w:val="002961D6"/>
    <w:rsid w:val="00296F0D"/>
    <w:rsid w:val="002973C9"/>
    <w:rsid w:val="00297E77"/>
    <w:rsid w:val="002A046D"/>
    <w:rsid w:val="002A0C3B"/>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1258"/>
    <w:rsid w:val="002C17A8"/>
    <w:rsid w:val="002C1B28"/>
    <w:rsid w:val="002C206D"/>
    <w:rsid w:val="002C2C44"/>
    <w:rsid w:val="002C42F6"/>
    <w:rsid w:val="002C4E86"/>
    <w:rsid w:val="002C4F64"/>
    <w:rsid w:val="002C5308"/>
    <w:rsid w:val="002C54C1"/>
    <w:rsid w:val="002C5E97"/>
    <w:rsid w:val="002C6278"/>
    <w:rsid w:val="002C661C"/>
    <w:rsid w:val="002C6793"/>
    <w:rsid w:val="002C68F2"/>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AF2"/>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2A81"/>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7A9"/>
    <w:rsid w:val="00304AEA"/>
    <w:rsid w:val="00304B56"/>
    <w:rsid w:val="003051D8"/>
    <w:rsid w:val="00305F81"/>
    <w:rsid w:val="00307DBE"/>
    <w:rsid w:val="003105D9"/>
    <w:rsid w:val="003109E1"/>
    <w:rsid w:val="00310B4A"/>
    <w:rsid w:val="00311D0A"/>
    <w:rsid w:val="00313147"/>
    <w:rsid w:val="00313399"/>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192E"/>
    <w:rsid w:val="00321A1D"/>
    <w:rsid w:val="00321BD5"/>
    <w:rsid w:val="00322A3E"/>
    <w:rsid w:val="003238C3"/>
    <w:rsid w:val="0032398B"/>
    <w:rsid w:val="00323E6D"/>
    <w:rsid w:val="00324781"/>
    <w:rsid w:val="00324BCD"/>
    <w:rsid w:val="00324F30"/>
    <w:rsid w:val="00325023"/>
    <w:rsid w:val="0032533F"/>
    <w:rsid w:val="00325FD8"/>
    <w:rsid w:val="00326348"/>
    <w:rsid w:val="003265B9"/>
    <w:rsid w:val="003265FC"/>
    <w:rsid w:val="00326C2A"/>
    <w:rsid w:val="00327232"/>
    <w:rsid w:val="00327DD2"/>
    <w:rsid w:val="00330864"/>
    <w:rsid w:val="0033103B"/>
    <w:rsid w:val="003310F0"/>
    <w:rsid w:val="00331182"/>
    <w:rsid w:val="00332AB2"/>
    <w:rsid w:val="00332C60"/>
    <w:rsid w:val="00333B87"/>
    <w:rsid w:val="00333D81"/>
    <w:rsid w:val="003342E1"/>
    <w:rsid w:val="003343F8"/>
    <w:rsid w:val="00335189"/>
    <w:rsid w:val="003352D3"/>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71A"/>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438"/>
    <w:rsid w:val="00352541"/>
    <w:rsid w:val="00354B78"/>
    <w:rsid w:val="00354BBC"/>
    <w:rsid w:val="00355EDF"/>
    <w:rsid w:val="00356117"/>
    <w:rsid w:val="0035658A"/>
    <w:rsid w:val="00357ADD"/>
    <w:rsid w:val="00357DC7"/>
    <w:rsid w:val="00360444"/>
    <w:rsid w:val="00360501"/>
    <w:rsid w:val="0036051A"/>
    <w:rsid w:val="003605F6"/>
    <w:rsid w:val="00361551"/>
    <w:rsid w:val="0036236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1FA"/>
    <w:rsid w:val="00373F2A"/>
    <w:rsid w:val="00374B6B"/>
    <w:rsid w:val="00374D92"/>
    <w:rsid w:val="003751AD"/>
    <w:rsid w:val="00376236"/>
    <w:rsid w:val="00376A71"/>
    <w:rsid w:val="00377222"/>
    <w:rsid w:val="00377565"/>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9E2"/>
    <w:rsid w:val="00385B97"/>
    <w:rsid w:val="00386157"/>
    <w:rsid w:val="003863B8"/>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A4B"/>
    <w:rsid w:val="003B3F08"/>
    <w:rsid w:val="003B479C"/>
    <w:rsid w:val="003B47AE"/>
    <w:rsid w:val="003B48C0"/>
    <w:rsid w:val="003B5096"/>
    <w:rsid w:val="003B55DE"/>
    <w:rsid w:val="003B5C47"/>
    <w:rsid w:val="003B5DF2"/>
    <w:rsid w:val="003B67C5"/>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C7829"/>
    <w:rsid w:val="003D0233"/>
    <w:rsid w:val="003D023E"/>
    <w:rsid w:val="003D084B"/>
    <w:rsid w:val="003D1078"/>
    <w:rsid w:val="003D129F"/>
    <w:rsid w:val="003D1688"/>
    <w:rsid w:val="003D17B8"/>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59"/>
    <w:rsid w:val="003E4D76"/>
    <w:rsid w:val="003E5379"/>
    <w:rsid w:val="003E55B1"/>
    <w:rsid w:val="003E5730"/>
    <w:rsid w:val="003E598B"/>
    <w:rsid w:val="003E5BD7"/>
    <w:rsid w:val="003E6D56"/>
    <w:rsid w:val="003E6E03"/>
    <w:rsid w:val="003E74B0"/>
    <w:rsid w:val="003E7DE1"/>
    <w:rsid w:val="003F004A"/>
    <w:rsid w:val="003F048E"/>
    <w:rsid w:val="003F05B2"/>
    <w:rsid w:val="003F092F"/>
    <w:rsid w:val="003F0AE3"/>
    <w:rsid w:val="003F1437"/>
    <w:rsid w:val="003F185C"/>
    <w:rsid w:val="003F1DD8"/>
    <w:rsid w:val="003F2446"/>
    <w:rsid w:val="003F2479"/>
    <w:rsid w:val="003F2D4E"/>
    <w:rsid w:val="003F305B"/>
    <w:rsid w:val="003F3197"/>
    <w:rsid w:val="003F367F"/>
    <w:rsid w:val="003F36A3"/>
    <w:rsid w:val="003F3A4A"/>
    <w:rsid w:val="003F4F17"/>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4D8"/>
    <w:rsid w:val="00425856"/>
    <w:rsid w:val="00426BA6"/>
    <w:rsid w:val="00427410"/>
    <w:rsid w:val="00427990"/>
    <w:rsid w:val="00427A6C"/>
    <w:rsid w:val="004307A2"/>
    <w:rsid w:val="00430FD9"/>
    <w:rsid w:val="00430FDB"/>
    <w:rsid w:val="00431129"/>
    <w:rsid w:val="004313FF"/>
    <w:rsid w:val="00431584"/>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5B47"/>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92B"/>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184B"/>
    <w:rsid w:val="00462126"/>
    <w:rsid w:val="0046230A"/>
    <w:rsid w:val="00462707"/>
    <w:rsid w:val="004627FF"/>
    <w:rsid w:val="004629B8"/>
    <w:rsid w:val="00462C95"/>
    <w:rsid w:val="00462E4C"/>
    <w:rsid w:val="004630A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089C"/>
    <w:rsid w:val="00471425"/>
    <w:rsid w:val="00471443"/>
    <w:rsid w:val="0047195C"/>
    <w:rsid w:val="00472103"/>
    <w:rsid w:val="00472114"/>
    <w:rsid w:val="004728ED"/>
    <w:rsid w:val="004737D0"/>
    <w:rsid w:val="00474F4B"/>
    <w:rsid w:val="004750E0"/>
    <w:rsid w:val="00475ACE"/>
    <w:rsid w:val="00475C7D"/>
    <w:rsid w:val="00476C51"/>
    <w:rsid w:val="00476CBE"/>
    <w:rsid w:val="004773FC"/>
    <w:rsid w:val="00477623"/>
    <w:rsid w:val="00480328"/>
    <w:rsid w:val="004804EA"/>
    <w:rsid w:val="0048110E"/>
    <w:rsid w:val="004816F3"/>
    <w:rsid w:val="00481AC5"/>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1176"/>
    <w:rsid w:val="004913E1"/>
    <w:rsid w:val="004919E4"/>
    <w:rsid w:val="00491F90"/>
    <w:rsid w:val="0049237B"/>
    <w:rsid w:val="00492C93"/>
    <w:rsid w:val="00492E29"/>
    <w:rsid w:val="00493D94"/>
    <w:rsid w:val="004946CD"/>
    <w:rsid w:val="00494AE7"/>
    <w:rsid w:val="00494E37"/>
    <w:rsid w:val="00495FC7"/>
    <w:rsid w:val="00496609"/>
    <w:rsid w:val="0049669A"/>
    <w:rsid w:val="00496877"/>
    <w:rsid w:val="00496B3C"/>
    <w:rsid w:val="004974D8"/>
    <w:rsid w:val="004977C7"/>
    <w:rsid w:val="0049796F"/>
    <w:rsid w:val="004A03F8"/>
    <w:rsid w:val="004A13C4"/>
    <w:rsid w:val="004A1BC0"/>
    <w:rsid w:val="004A1F98"/>
    <w:rsid w:val="004A32CC"/>
    <w:rsid w:val="004A3794"/>
    <w:rsid w:val="004A4B9C"/>
    <w:rsid w:val="004A4C06"/>
    <w:rsid w:val="004A5319"/>
    <w:rsid w:val="004A57D7"/>
    <w:rsid w:val="004A57DB"/>
    <w:rsid w:val="004A57F5"/>
    <w:rsid w:val="004A5864"/>
    <w:rsid w:val="004A5D92"/>
    <w:rsid w:val="004A68E6"/>
    <w:rsid w:val="004A6AA4"/>
    <w:rsid w:val="004A7264"/>
    <w:rsid w:val="004A781C"/>
    <w:rsid w:val="004A7BBC"/>
    <w:rsid w:val="004A7DEB"/>
    <w:rsid w:val="004B0381"/>
    <w:rsid w:val="004B05B0"/>
    <w:rsid w:val="004B0CAC"/>
    <w:rsid w:val="004B1122"/>
    <w:rsid w:val="004B19B5"/>
    <w:rsid w:val="004B1D7D"/>
    <w:rsid w:val="004B2677"/>
    <w:rsid w:val="004B3088"/>
    <w:rsid w:val="004B32A8"/>
    <w:rsid w:val="004B32F7"/>
    <w:rsid w:val="004B37BA"/>
    <w:rsid w:val="004B3A83"/>
    <w:rsid w:val="004B460A"/>
    <w:rsid w:val="004B4F03"/>
    <w:rsid w:val="004B68C4"/>
    <w:rsid w:val="004B6B1E"/>
    <w:rsid w:val="004B7A74"/>
    <w:rsid w:val="004C0212"/>
    <w:rsid w:val="004C05F9"/>
    <w:rsid w:val="004C0B32"/>
    <w:rsid w:val="004C1573"/>
    <w:rsid w:val="004C18FD"/>
    <w:rsid w:val="004C2751"/>
    <w:rsid w:val="004C2864"/>
    <w:rsid w:val="004C2BFF"/>
    <w:rsid w:val="004C30A7"/>
    <w:rsid w:val="004C34FE"/>
    <w:rsid w:val="004C3A4B"/>
    <w:rsid w:val="004C41A0"/>
    <w:rsid w:val="004C4681"/>
    <w:rsid w:val="004C49F0"/>
    <w:rsid w:val="004C4F8F"/>
    <w:rsid w:val="004C52CE"/>
    <w:rsid w:val="004C6779"/>
    <w:rsid w:val="004C77A7"/>
    <w:rsid w:val="004D067A"/>
    <w:rsid w:val="004D0D16"/>
    <w:rsid w:val="004D1305"/>
    <w:rsid w:val="004D133F"/>
    <w:rsid w:val="004D2BC8"/>
    <w:rsid w:val="004D31CA"/>
    <w:rsid w:val="004D3268"/>
    <w:rsid w:val="004D374E"/>
    <w:rsid w:val="004D38D3"/>
    <w:rsid w:val="004D39AE"/>
    <w:rsid w:val="004D6968"/>
    <w:rsid w:val="004D6DCA"/>
    <w:rsid w:val="004D715C"/>
    <w:rsid w:val="004D7205"/>
    <w:rsid w:val="004D7340"/>
    <w:rsid w:val="004D79E0"/>
    <w:rsid w:val="004E0194"/>
    <w:rsid w:val="004E0E99"/>
    <w:rsid w:val="004E1325"/>
    <w:rsid w:val="004E13D4"/>
    <w:rsid w:val="004E1905"/>
    <w:rsid w:val="004E1E6B"/>
    <w:rsid w:val="004E2308"/>
    <w:rsid w:val="004E23A7"/>
    <w:rsid w:val="004E2404"/>
    <w:rsid w:val="004E2628"/>
    <w:rsid w:val="004E2A2E"/>
    <w:rsid w:val="004E2F37"/>
    <w:rsid w:val="004E3BF3"/>
    <w:rsid w:val="004E4437"/>
    <w:rsid w:val="004E4A16"/>
    <w:rsid w:val="004E4A34"/>
    <w:rsid w:val="004E52AA"/>
    <w:rsid w:val="004E54DA"/>
    <w:rsid w:val="004E5811"/>
    <w:rsid w:val="004E6FA6"/>
    <w:rsid w:val="004E7EBC"/>
    <w:rsid w:val="004EE66A"/>
    <w:rsid w:val="004F0A3B"/>
    <w:rsid w:val="004F0BDB"/>
    <w:rsid w:val="004F0C21"/>
    <w:rsid w:val="004F1177"/>
    <w:rsid w:val="004F1294"/>
    <w:rsid w:val="004F16B4"/>
    <w:rsid w:val="004F1A89"/>
    <w:rsid w:val="004F20C3"/>
    <w:rsid w:val="004F2445"/>
    <w:rsid w:val="004F2773"/>
    <w:rsid w:val="004F299C"/>
    <w:rsid w:val="004F2D21"/>
    <w:rsid w:val="004F2E9D"/>
    <w:rsid w:val="004F39CA"/>
    <w:rsid w:val="004F45F2"/>
    <w:rsid w:val="004F4CAD"/>
    <w:rsid w:val="004F563A"/>
    <w:rsid w:val="004F56C3"/>
    <w:rsid w:val="004F5A39"/>
    <w:rsid w:val="004F5DF9"/>
    <w:rsid w:val="004F6042"/>
    <w:rsid w:val="004F65CC"/>
    <w:rsid w:val="004F66B4"/>
    <w:rsid w:val="004F6C38"/>
    <w:rsid w:val="004F737D"/>
    <w:rsid w:val="004F78C6"/>
    <w:rsid w:val="0050032A"/>
    <w:rsid w:val="00500584"/>
    <w:rsid w:val="005009C7"/>
    <w:rsid w:val="0050139A"/>
    <w:rsid w:val="005014F9"/>
    <w:rsid w:val="00501781"/>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6FA"/>
    <w:rsid w:val="00516728"/>
    <w:rsid w:val="0051674B"/>
    <w:rsid w:val="00516B66"/>
    <w:rsid w:val="00516B96"/>
    <w:rsid w:val="00516EEE"/>
    <w:rsid w:val="00516F69"/>
    <w:rsid w:val="00516FFE"/>
    <w:rsid w:val="005170BA"/>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2D4"/>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285"/>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8BB"/>
    <w:rsid w:val="00562B21"/>
    <w:rsid w:val="00562E08"/>
    <w:rsid w:val="00562F82"/>
    <w:rsid w:val="00563591"/>
    <w:rsid w:val="0056373B"/>
    <w:rsid w:val="0056383C"/>
    <w:rsid w:val="00564913"/>
    <w:rsid w:val="00564978"/>
    <w:rsid w:val="005652D1"/>
    <w:rsid w:val="00565AD2"/>
    <w:rsid w:val="005663FC"/>
    <w:rsid w:val="00566D73"/>
    <w:rsid w:val="00567475"/>
    <w:rsid w:val="00567C15"/>
    <w:rsid w:val="00570B5A"/>
    <w:rsid w:val="00570DD6"/>
    <w:rsid w:val="0057249A"/>
    <w:rsid w:val="00572580"/>
    <w:rsid w:val="00572663"/>
    <w:rsid w:val="00572EE5"/>
    <w:rsid w:val="00573B09"/>
    <w:rsid w:val="00573B28"/>
    <w:rsid w:val="00573BD8"/>
    <w:rsid w:val="00575326"/>
    <w:rsid w:val="0057585B"/>
    <w:rsid w:val="00575BF5"/>
    <w:rsid w:val="00575FA2"/>
    <w:rsid w:val="00576256"/>
    <w:rsid w:val="005762B2"/>
    <w:rsid w:val="005777BD"/>
    <w:rsid w:val="00577B8D"/>
    <w:rsid w:val="005800D8"/>
    <w:rsid w:val="00580C15"/>
    <w:rsid w:val="00581347"/>
    <w:rsid w:val="00581492"/>
    <w:rsid w:val="00581688"/>
    <w:rsid w:val="005817F5"/>
    <w:rsid w:val="00581981"/>
    <w:rsid w:val="005819EE"/>
    <w:rsid w:val="00581EA5"/>
    <w:rsid w:val="00582396"/>
    <w:rsid w:val="0058251E"/>
    <w:rsid w:val="00584482"/>
    <w:rsid w:val="005846C9"/>
    <w:rsid w:val="00584B49"/>
    <w:rsid w:val="00584FA3"/>
    <w:rsid w:val="00585EEB"/>
    <w:rsid w:val="00586906"/>
    <w:rsid w:val="005872CC"/>
    <w:rsid w:val="005873FC"/>
    <w:rsid w:val="0058741F"/>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428"/>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0D5"/>
    <w:rsid w:val="005B654A"/>
    <w:rsid w:val="005B6D5A"/>
    <w:rsid w:val="005B785F"/>
    <w:rsid w:val="005B7C12"/>
    <w:rsid w:val="005C0A2B"/>
    <w:rsid w:val="005C1511"/>
    <w:rsid w:val="005C1659"/>
    <w:rsid w:val="005C25B5"/>
    <w:rsid w:val="005C3069"/>
    <w:rsid w:val="005C3522"/>
    <w:rsid w:val="005C36F8"/>
    <w:rsid w:val="005C3930"/>
    <w:rsid w:val="005C3A49"/>
    <w:rsid w:val="005C3E02"/>
    <w:rsid w:val="005C434E"/>
    <w:rsid w:val="005C4633"/>
    <w:rsid w:val="005C4BB0"/>
    <w:rsid w:val="005C4DA7"/>
    <w:rsid w:val="005C50B6"/>
    <w:rsid w:val="005C528C"/>
    <w:rsid w:val="005C52BD"/>
    <w:rsid w:val="005C52D4"/>
    <w:rsid w:val="005C5BB0"/>
    <w:rsid w:val="005C66FD"/>
    <w:rsid w:val="005C6AB8"/>
    <w:rsid w:val="005C6B12"/>
    <w:rsid w:val="005C6D5D"/>
    <w:rsid w:val="005C7669"/>
    <w:rsid w:val="005C76D8"/>
    <w:rsid w:val="005C7BEC"/>
    <w:rsid w:val="005C7D37"/>
    <w:rsid w:val="005C7DCE"/>
    <w:rsid w:val="005C7FA9"/>
    <w:rsid w:val="005D0DD1"/>
    <w:rsid w:val="005D0FB4"/>
    <w:rsid w:val="005D14BE"/>
    <w:rsid w:val="005D1FC2"/>
    <w:rsid w:val="005D2ACC"/>
    <w:rsid w:val="005D2B55"/>
    <w:rsid w:val="005D3030"/>
    <w:rsid w:val="005D4928"/>
    <w:rsid w:val="005D5B63"/>
    <w:rsid w:val="005D6078"/>
    <w:rsid w:val="005D6447"/>
    <w:rsid w:val="005D65A0"/>
    <w:rsid w:val="005D71B0"/>
    <w:rsid w:val="005E08E2"/>
    <w:rsid w:val="005E1321"/>
    <w:rsid w:val="005E15FA"/>
    <w:rsid w:val="005E162E"/>
    <w:rsid w:val="005E1666"/>
    <w:rsid w:val="005E1B67"/>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333B"/>
    <w:rsid w:val="005F34E6"/>
    <w:rsid w:val="005F4215"/>
    <w:rsid w:val="005F44C6"/>
    <w:rsid w:val="005F4983"/>
    <w:rsid w:val="005F50D6"/>
    <w:rsid w:val="005F51D4"/>
    <w:rsid w:val="005F51F9"/>
    <w:rsid w:val="005F65EF"/>
    <w:rsid w:val="005F686E"/>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0CEA"/>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7BE"/>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9A3"/>
    <w:rsid w:val="00625D3B"/>
    <w:rsid w:val="006260A4"/>
    <w:rsid w:val="00626502"/>
    <w:rsid w:val="00626903"/>
    <w:rsid w:val="006272FB"/>
    <w:rsid w:val="0062767A"/>
    <w:rsid w:val="00627C2F"/>
    <w:rsid w:val="00627F57"/>
    <w:rsid w:val="0063029C"/>
    <w:rsid w:val="00630464"/>
    <w:rsid w:val="00630CF2"/>
    <w:rsid w:val="00630FB9"/>
    <w:rsid w:val="00631549"/>
    <w:rsid w:val="00632048"/>
    <w:rsid w:val="0063246D"/>
    <w:rsid w:val="0063257C"/>
    <w:rsid w:val="00632D6B"/>
    <w:rsid w:val="00634E98"/>
    <w:rsid w:val="00635279"/>
    <w:rsid w:val="006352B4"/>
    <w:rsid w:val="00635B69"/>
    <w:rsid w:val="00636593"/>
    <w:rsid w:val="00640298"/>
    <w:rsid w:val="0064078D"/>
    <w:rsid w:val="00640A36"/>
    <w:rsid w:val="00640D81"/>
    <w:rsid w:val="00640F39"/>
    <w:rsid w:val="00640F57"/>
    <w:rsid w:val="006414FF"/>
    <w:rsid w:val="00641BFD"/>
    <w:rsid w:val="00642224"/>
    <w:rsid w:val="0064233A"/>
    <w:rsid w:val="006431A0"/>
    <w:rsid w:val="006439E4"/>
    <w:rsid w:val="00643CE7"/>
    <w:rsid w:val="006443EF"/>
    <w:rsid w:val="00644475"/>
    <w:rsid w:val="006445F8"/>
    <w:rsid w:val="00644ACB"/>
    <w:rsid w:val="00644FDA"/>
    <w:rsid w:val="00645C8E"/>
    <w:rsid w:val="0064607E"/>
    <w:rsid w:val="00646360"/>
    <w:rsid w:val="00646E4B"/>
    <w:rsid w:val="0064710C"/>
    <w:rsid w:val="006477A7"/>
    <w:rsid w:val="00647B47"/>
    <w:rsid w:val="00647C0B"/>
    <w:rsid w:val="00647CA5"/>
    <w:rsid w:val="0065019F"/>
    <w:rsid w:val="006501D0"/>
    <w:rsid w:val="00650242"/>
    <w:rsid w:val="006509A7"/>
    <w:rsid w:val="00651A2B"/>
    <w:rsid w:val="006520F3"/>
    <w:rsid w:val="006522C2"/>
    <w:rsid w:val="00652486"/>
    <w:rsid w:val="006525BA"/>
    <w:rsid w:val="00652C9E"/>
    <w:rsid w:val="006536A3"/>
    <w:rsid w:val="00653C85"/>
    <w:rsid w:val="006549BF"/>
    <w:rsid w:val="00654A62"/>
    <w:rsid w:val="006553A6"/>
    <w:rsid w:val="006553B5"/>
    <w:rsid w:val="00655AAF"/>
    <w:rsid w:val="00655DFF"/>
    <w:rsid w:val="0065614D"/>
    <w:rsid w:val="00656847"/>
    <w:rsid w:val="00656A30"/>
    <w:rsid w:val="006572C6"/>
    <w:rsid w:val="00657E82"/>
    <w:rsid w:val="00660F84"/>
    <w:rsid w:val="00660F89"/>
    <w:rsid w:val="0066135B"/>
    <w:rsid w:val="006618DC"/>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488"/>
    <w:rsid w:val="00674840"/>
    <w:rsid w:val="00674964"/>
    <w:rsid w:val="00674C6E"/>
    <w:rsid w:val="00675CA9"/>
    <w:rsid w:val="00675EF4"/>
    <w:rsid w:val="00676EFB"/>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CAC"/>
    <w:rsid w:val="00690D71"/>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5C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236"/>
    <w:rsid w:val="006B1342"/>
    <w:rsid w:val="006B156A"/>
    <w:rsid w:val="006B186A"/>
    <w:rsid w:val="006B18A4"/>
    <w:rsid w:val="006B194C"/>
    <w:rsid w:val="006B1A86"/>
    <w:rsid w:val="006B26E3"/>
    <w:rsid w:val="006B3257"/>
    <w:rsid w:val="006B3A27"/>
    <w:rsid w:val="006B4CA3"/>
    <w:rsid w:val="006B51B2"/>
    <w:rsid w:val="006B5B2C"/>
    <w:rsid w:val="006B62A5"/>
    <w:rsid w:val="006B74D9"/>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55BB"/>
    <w:rsid w:val="006D5FA5"/>
    <w:rsid w:val="006D6610"/>
    <w:rsid w:val="006D70F2"/>
    <w:rsid w:val="006D780E"/>
    <w:rsid w:val="006D7854"/>
    <w:rsid w:val="006D7860"/>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2F5F"/>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8C2"/>
    <w:rsid w:val="00710C7E"/>
    <w:rsid w:val="00710EB3"/>
    <w:rsid w:val="00710F3D"/>
    <w:rsid w:val="00710FFF"/>
    <w:rsid w:val="0071215E"/>
    <w:rsid w:val="007136D9"/>
    <w:rsid w:val="00713A16"/>
    <w:rsid w:val="00713C5D"/>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256"/>
    <w:rsid w:val="00723B4F"/>
    <w:rsid w:val="00724218"/>
    <w:rsid w:val="007242A3"/>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59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5F9A"/>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5A49"/>
    <w:rsid w:val="00796620"/>
    <w:rsid w:val="0079697B"/>
    <w:rsid w:val="00797415"/>
    <w:rsid w:val="0079754C"/>
    <w:rsid w:val="007A0657"/>
    <w:rsid w:val="007A0679"/>
    <w:rsid w:val="007A1395"/>
    <w:rsid w:val="007A22E9"/>
    <w:rsid w:val="007A24A2"/>
    <w:rsid w:val="007A24EB"/>
    <w:rsid w:val="007A25CC"/>
    <w:rsid w:val="007A282D"/>
    <w:rsid w:val="007A331E"/>
    <w:rsid w:val="007A3B34"/>
    <w:rsid w:val="007A3BD0"/>
    <w:rsid w:val="007A4313"/>
    <w:rsid w:val="007A455D"/>
    <w:rsid w:val="007A4C6D"/>
    <w:rsid w:val="007A4F2F"/>
    <w:rsid w:val="007A644F"/>
    <w:rsid w:val="007A6B97"/>
    <w:rsid w:val="007A6FEB"/>
    <w:rsid w:val="007A7CE5"/>
    <w:rsid w:val="007A7DE1"/>
    <w:rsid w:val="007B04E7"/>
    <w:rsid w:val="007B07CA"/>
    <w:rsid w:val="007B080B"/>
    <w:rsid w:val="007B0C6A"/>
    <w:rsid w:val="007B19CE"/>
    <w:rsid w:val="007B1E12"/>
    <w:rsid w:val="007B1E53"/>
    <w:rsid w:val="007B276C"/>
    <w:rsid w:val="007B3291"/>
    <w:rsid w:val="007B3771"/>
    <w:rsid w:val="007B5385"/>
    <w:rsid w:val="007B547C"/>
    <w:rsid w:val="007B63C3"/>
    <w:rsid w:val="007B63FB"/>
    <w:rsid w:val="007B668E"/>
    <w:rsid w:val="007B69CB"/>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A12"/>
    <w:rsid w:val="007D1CB4"/>
    <w:rsid w:val="007D1F1A"/>
    <w:rsid w:val="007D3011"/>
    <w:rsid w:val="007D3195"/>
    <w:rsid w:val="007D3572"/>
    <w:rsid w:val="007D3FCB"/>
    <w:rsid w:val="007D4064"/>
    <w:rsid w:val="007D4EFC"/>
    <w:rsid w:val="007D501A"/>
    <w:rsid w:val="007D5105"/>
    <w:rsid w:val="007D53CD"/>
    <w:rsid w:val="007D6377"/>
    <w:rsid w:val="007D6528"/>
    <w:rsid w:val="007D699F"/>
    <w:rsid w:val="007D6AF4"/>
    <w:rsid w:val="007D7EFC"/>
    <w:rsid w:val="007E02CE"/>
    <w:rsid w:val="007E103C"/>
    <w:rsid w:val="007E1221"/>
    <w:rsid w:val="007E15E5"/>
    <w:rsid w:val="007E24B8"/>
    <w:rsid w:val="007E253C"/>
    <w:rsid w:val="007E2A27"/>
    <w:rsid w:val="007E300C"/>
    <w:rsid w:val="007E3133"/>
    <w:rsid w:val="007E3995"/>
    <w:rsid w:val="007E39F0"/>
    <w:rsid w:val="007E3F27"/>
    <w:rsid w:val="007E3F65"/>
    <w:rsid w:val="007E40DB"/>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17"/>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096"/>
    <w:rsid w:val="007F77AD"/>
    <w:rsid w:val="00800347"/>
    <w:rsid w:val="00800A85"/>
    <w:rsid w:val="00800C84"/>
    <w:rsid w:val="0080257D"/>
    <w:rsid w:val="008025AE"/>
    <w:rsid w:val="00802670"/>
    <w:rsid w:val="00803615"/>
    <w:rsid w:val="0080375F"/>
    <w:rsid w:val="00803805"/>
    <w:rsid w:val="00803812"/>
    <w:rsid w:val="00803E0A"/>
    <w:rsid w:val="00803EA8"/>
    <w:rsid w:val="00803EA9"/>
    <w:rsid w:val="00803F6B"/>
    <w:rsid w:val="008040EC"/>
    <w:rsid w:val="00804C68"/>
    <w:rsid w:val="008052B1"/>
    <w:rsid w:val="00805337"/>
    <w:rsid w:val="0080582D"/>
    <w:rsid w:val="008059CD"/>
    <w:rsid w:val="00805AB1"/>
    <w:rsid w:val="00805D11"/>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495D"/>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57FC4"/>
    <w:rsid w:val="008601A9"/>
    <w:rsid w:val="00860C62"/>
    <w:rsid w:val="0086157D"/>
    <w:rsid w:val="00861895"/>
    <w:rsid w:val="00861CF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45B"/>
    <w:rsid w:val="0086664D"/>
    <w:rsid w:val="00867351"/>
    <w:rsid w:val="00867652"/>
    <w:rsid w:val="008677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77E55"/>
    <w:rsid w:val="00880749"/>
    <w:rsid w:val="00880B88"/>
    <w:rsid w:val="00881678"/>
    <w:rsid w:val="00881D8A"/>
    <w:rsid w:val="00881EC5"/>
    <w:rsid w:val="00882128"/>
    <w:rsid w:val="008829D2"/>
    <w:rsid w:val="00882F19"/>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2F7E"/>
    <w:rsid w:val="00893BB7"/>
    <w:rsid w:val="008941DB"/>
    <w:rsid w:val="008944F8"/>
    <w:rsid w:val="00894546"/>
    <w:rsid w:val="008954D8"/>
    <w:rsid w:val="00895940"/>
    <w:rsid w:val="00895C7B"/>
    <w:rsid w:val="00895E31"/>
    <w:rsid w:val="00895E55"/>
    <w:rsid w:val="0089695D"/>
    <w:rsid w:val="0089712D"/>
    <w:rsid w:val="0089733D"/>
    <w:rsid w:val="008979DB"/>
    <w:rsid w:val="008A07A8"/>
    <w:rsid w:val="008A0E9B"/>
    <w:rsid w:val="008A0F8E"/>
    <w:rsid w:val="008A1224"/>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29A"/>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5D7"/>
    <w:rsid w:val="008C2AD0"/>
    <w:rsid w:val="008C2FA8"/>
    <w:rsid w:val="008C31AE"/>
    <w:rsid w:val="008C3BC3"/>
    <w:rsid w:val="008C452F"/>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0E0C"/>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2773"/>
    <w:rsid w:val="008E31A9"/>
    <w:rsid w:val="008E404F"/>
    <w:rsid w:val="008E4412"/>
    <w:rsid w:val="008E4F95"/>
    <w:rsid w:val="008E530B"/>
    <w:rsid w:val="008E5366"/>
    <w:rsid w:val="008E5533"/>
    <w:rsid w:val="008E775F"/>
    <w:rsid w:val="008F023F"/>
    <w:rsid w:val="008F1A30"/>
    <w:rsid w:val="008F1C6E"/>
    <w:rsid w:val="008F1FC1"/>
    <w:rsid w:val="008F2238"/>
    <w:rsid w:val="008F2691"/>
    <w:rsid w:val="008F2DF6"/>
    <w:rsid w:val="008F2E3D"/>
    <w:rsid w:val="008F35DC"/>
    <w:rsid w:val="008F478E"/>
    <w:rsid w:val="008F4D52"/>
    <w:rsid w:val="008F4E41"/>
    <w:rsid w:val="008F5161"/>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07367"/>
    <w:rsid w:val="00910297"/>
    <w:rsid w:val="0091038F"/>
    <w:rsid w:val="00910AE9"/>
    <w:rsid w:val="009113C8"/>
    <w:rsid w:val="009129EF"/>
    <w:rsid w:val="0091310B"/>
    <w:rsid w:val="00913531"/>
    <w:rsid w:val="0091384B"/>
    <w:rsid w:val="00913F33"/>
    <w:rsid w:val="00914204"/>
    <w:rsid w:val="00914306"/>
    <w:rsid w:val="00914392"/>
    <w:rsid w:val="009143B2"/>
    <w:rsid w:val="009149F6"/>
    <w:rsid w:val="00914D69"/>
    <w:rsid w:val="00915C7E"/>
    <w:rsid w:val="009166AF"/>
    <w:rsid w:val="009168B3"/>
    <w:rsid w:val="009171FF"/>
    <w:rsid w:val="00917862"/>
    <w:rsid w:val="009206C0"/>
    <w:rsid w:val="00922606"/>
    <w:rsid w:val="00922791"/>
    <w:rsid w:val="00922D31"/>
    <w:rsid w:val="009239F9"/>
    <w:rsid w:val="00923F34"/>
    <w:rsid w:val="0092559F"/>
    <w:rsid w:val="00925C6F"/>
    <w:rsid w:val="0092607C"/>
    <w:rsid w:val="00926081"/>
    <w:rsid w:val="0092675A"/>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1B78"/>
    <w:rsid w:val="00942962"/>
    <w:rsid w:val="00943006"/>
    <w:rsid w:val="00944A06"/>
    <w:rsid w:val="00944E0C"/>
    <w:rsid w:val="009457FF"/>
    <w:rsid w:val="00945998"/>
    <w:rsid w:val="00945CE8"/>
    <w:rsid w:val="00946C48"/>
    <w:rsid w:val="00946D8B"/>
    <w:rsid w:val="00946DD8"/>
    <w:rsid w:val="00946EFF"/>
    <w:rsid w:val="00946F6E"/>
    <w:rsid w:val="009474C2"/>
    <w:rsid w:val="0094777A"/>
    <w:rsid w:val="00947A98"/>
    <w:rsid w:val="0095083A"/>
    <w:rsid w:val="00950D81"/>
    <w:rsid w:val="009518A1"/>
    <w:rsid w:val="00951BD9"/>
    <w:rsid w:val="00952A05"/>
    <w:rsid w:val="00953831"/>
    <w:rsid w:val="00953F58"/>
    <w:rsid w:val="00954360"/>
    <w:rsid w:val="009543EB"/>
    <w:rsid w:val="00954978"/>
    <w:rsid w:val="00954B1B"/>
    <w:rsid w:val="00954E1F"/>
    <w:rsid w:val="00956832"/>
    <w:rsid w:val="00957B9C"/>
    <w:rsid w:val="00957C86"/>
    <w:rsid w:val="0096019A"/>
    <w:rsid w:val="00960F15"/>
    <w:rsid w:val="00961A98"/>
    <w:rsid w:val="00961C86"/>
    <w:rsid w:val="009620E6"/>
    <w:rsid w:val="009623AB"/>
    <w:rsid w:val="009628F8"/>
    <w:rsid w:val="009629A7"/>
    <w:rsid w:val="00962AFE"/>
    <w:rsid w:val="009631BA"/>
    <w:rsid w:val="009631C3"/>
    <w:rsid w:val="00963456"/>
    <w:rsid w:val="0096378F"/>
    <w:rsid w:val="00963E0B"/>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1FC9"/>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06"/>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69B"/>
    <w:rsid w:val="009A4755"/>
    <w:rsid w:val="009A4EAB"/>
    <w:rsid w:val="009A5BCC"/>
    <w:rsid w:val="009A5F58"/>
    <w:rsid w:val="009A6A6F"/>
    <w:rsid w:val="009A735F"/>
    <w:rsid w:val="009A798A"/>
    <w:rsid w:val="009A7D52"/>
    <w:rsid w:val="009B07DC"/>
    <w:rsid w:val="009B0FA1"/>
    <w:rsid w:val="009B1226"/>
    <w:rsid w:val="009B13B9"/>
    <w:rsid w:val="009B1AD4"/>
    <w:rsid w:val="009B1B69"/>
    <w:rsid w:val="009B1D67"/>
    <w:rsid w:val="009B3317"/>
    <w:rsid w:val="009B3881"/>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2F50"/>
    <w:rsid w:val="009D3626"/>
    <w:rsid w:val="009D3B66"/>
    <w:rsid w:val="009D443F"/>
    <w:rsid w:val="009D53B4"/>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44A"/>
    <w:rsid w:val="009E66F3"/>
    <w:rsid w:val="009E6E9A"/>
    <w:rsid w:val="009E78C4"/>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9F710A"/>
    <w:rsid w:val="00A00C12"/>
    <w:rsid w:val="00A016F4"/>
    <w:rsid w:val="00A01D7B"/>
    <w:rsid w:val="00A0211B"/>
    <w:rsid w:val="00A02820"/>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1DA"/>
    <w:rsid w:val="00A1330E"/>
    <w:rsid w:val="00A138DE"/>
    <w:rsid w:val="00A13C2E"/>
    <w:rsid w:val="00A140F7"/>
    <w:rsid w:val="00A1448C"/>
    <w:rsid w:val="00A14C15"/>
    <w:rsid w:val="00A14F1F"/>
    <w:rsid w:val="00A15328"/>
    <w:rsid w:val="00A15419"/>
    <w:rsid w:val="00A156C6"/>
    <w:rsid w:val="00A15D7C"/>
    <w:rsid w:val="00A16150"/>
    <w:rsid w:val="00A16688"/>
    <w:rsid w:val="00A1791D"/>
    <w:rsid w:val="00A17CF5"/>
    <w:rsid w:val="00A203CB"/>
    <w:rsid w:val="00A204BC"/>
    <w:rsid w:val="00A210D2"/>
    <w:rsid w:val="00A215A8"/>
    <w:rsid w:val="00A225CD"/>
    <w:rsid w:val="00A22790"/>
    <w:rsid w:val="00A22822"/>
    <w:rsid w:val="00A22CC2"/>
    <w:rsid w:val="00A2334F"/>
    <w:rsid w:val="00A2351C"/>
    <w:rsid w:val="00A23838"/>
    <w:rsid w:val="00A23944"/>
    <w:rsid w:val="00A2400F"/>
    <w:rsid w:val="00A25337"/>
    <w:rsid w:val="00A25542"/>
    <w:rsid w:val="00A25E59"/>
    <w:rsid w:val="00A25FA0"/>
    <w:rsid w:val="00A2678B"/>
    <w:rsid w:val="00A30B98"/>
    <w:rsid w:val="00A30F4A"/>
    <w:rsid w:val="00A31884"/>
    <w:rsid w:val="00A31A3C"/>
    <w:rsid w:val="00A320C1"/>
    <w:rsid w:val="00A32157"/>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37C30"/>
    <w:rsid w:val="00A40131"/>
    <w:rsid w:val="00A402A1"/>
    <w:rsid w:val="00A41335"/>
    <w:rsid w:val="00A419D0"/>
    <w:rsid w:val="00A41D8A"/>
    <w:rsid w:val="00A4274E"/>
    <w:rsid w:val="00A44175"/>
    <w:rsid w:val="00A44D8F"/>
    <w:rsid w:val="00A45A85"/>
    <w:rsid w:val="00A46260"/>
    <w:rsid w:val="00A464DE"/>
    <w:rsid w:val="00A46777"/>
    <w:rsid w:val="00A46B45"/>
    <w:rsid w:val="00A46CF2"/>
    <w:rsid w:val="00A46E8E"/>
    <w:rsid w:val="00A46F3F"/>
    <w:rsid w:val="00A46F7D"/>
    <w:rsid w:val="00A475B0"/>
    <w:rsid w:val="00A502C3"/>
    <w:rsid w:val="00A50455"/>
    <w:rsid w:val="00A50D22"/>
    <w:rsid w:val="00A50E14"/>
    <w:rsid w:val="00A51233"/>
    <w:rsid w:val="00A512C3"/>
    <w:rsid w:val="00A51CDD"/>
    <w:rsid w:val="00A5223C"/>
    <w:rsid w:val="00A52267"/>
    <w:rsid w:val="00A522C3"/>
    <w:rsid w:val="00A528B0"/>
    <w:rsid w:val="00A52DCE"/>
    <w:rsid w:val="00A53477"/>
    <w:rsid w:val="00A54390"/>
    <w:rsid w:val="00A54E22"/>
    <w:rsid w:val="00A55140"/>
    <w:rsid w:val="00A562CA"/>
    <w:rsid w:val="00A56787"/>
    <w:rsid w:val="00A5694E"/>
    <w:rsid w:val="00A56C8C"/>
    <w:rsid w:val="00A571AE"/>
    <w:rsid w:val="00A571FE"/>
    <w:rsid w:val="00A5759A"/>
    <w:rsid w:val="00A575B4"/>
    <w:rsid w:val="00A5796A"/>
    <w:rsid w:val="00A57DDC"/>
    <w:rsid w:val="00A60300"/>
    <w:rsid w:val="00A6030E"/>
    <w:rsid w:val="00A60395"/>
    <w:rsid w:val="00A60929"/>
    <w:rsid w:val="00A61063"/>
    <w:rsid w:val="00A61492"/>
    <w:rsid w:val="00A61836"/>
    <w:rsid w:val="00A61B26"/>
    <w:rsid w:val="00A61D1D"/>
    <w:rsid w:val="00A61D8E"/>
    <w:rsid w:val="00A61EE9"/>
    <w:rsid w:val="00A622F0"/>
    <w:rsid w:val="00A6287E"/>
    <w:rsid w:val="00A62CF5"/>
    <w:rsid w:val="00A62FA6"/>
    <w:rsid w:val="00A63507"/>
    <w:rsid w:val="00A64A3F"/>
    <w:rsid w:val="00A64DC9"/>
    <w:rsid w:val="00A65280"/>
    <w:rsid w:val="00A65624"/>
    <w:rsid w:val="00A658A4"/>
    <w:rsid w:val="00A6710A"/>
    <w:rsid w:val="00A67354"/>
    <w:rsid w:val="00A675BB"/>
    <w:rsid w:val="00A70D91"/>
    <w:rsid w:val="00A70DF7"/>
    <w:rsid w:val="00A711F0"/>
    <w:rsid w:val="00A71593"/>
    <w:rsid w:val="00A71EFB"/>
    <w:rsid w:val="00A72644"/>
    <w:rsid w:val="00A72B79"/>
    <w:rsid w:val="00A73268"/>
    <w:rsid w:val="00A737FD"/>
    <w:rsid w:val="00A73BD7"/>
    <w:rsid w:val="00A742C7"/>
    <w:rsid w:val="00A743AB"/>
    <w:rsid w:val="00A7453E"/>
    <w:rsid w:val="00A753C0"/>
    <w:rsid w:val="00A75510"/>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208"/>
    <w:rsid w:val="00A83508"/>
    <w:rsid w:val="00A856EB"/>
    <w:rsid w:val="00A86236"/>
    <w:rsid w:val="00A875E3"/>
    <w:rsid w:val="00A87694"/>
    <w:rsid w:val="00A9022E"/>
    <w:rsid w:val="00A902D4"/>
    <w:rsid w:val="00A9079C"/>
    <w:rsid w:val="00A90C0D"/>
    <w:rsid w:val="00A90FFB"/>
    <w:rsid w:val="00A91257"/>
    <w:rsid w:val="00A91F12"/>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705"/>
    <w:rsid w:val="00A95955"/>
    <w:rsid w:val="00A9632E"/>
    <w:rsid w:val="00A9641B"/>
    <w:rsid w:val="00A9643B"/>
    <w:rsid w:val="00A967CF"/>
    <w:rsid w:val="00A96E21"/>
    <w:rsid w:val="00A96E34"/>
    <w:rsid w:val="00A979B1"/>
    <w:rsid w:val="00AA0AD4"/>
    <w:rsid w:val="00AA1165"/>
    <w:rsid w:val="00AA1480"/>
    <w:rsid w:val="00AA1E32"/>
    <w:rsid w:val="00AA2161"/>
    <w:rsid w:val="00AA2601"/>
    <w:rsid w:val="00AA2A10"/>
    <w:rsid w:val="00AA2CB2"/>
    <w:rsid w:val="00AA2F6D"/>
    <w:rsid w:val="00AA3467"/>
    <w:rsid w:val="00AA3682"/>
    <w:rsid w:val="00AA397F"/>
    <w:rsid w:val="00AA3F31"/>
    <w:rsid w:val="00AA437A"/>
    <w:rsid w:val="00AA4625"/>
    <w:rsid w:val="00AA5517"/>
    <w:rsid w:val="00AA5D61"/>
    <w:rsid w:val="00AA6BB6"/>
    <w:rsid w:val="00AA6C30"/>
    <w:rsid w:val="00AA7BCE"/>
    <w:rsid w:val="00AA7D57"/>
    <w:rsid w:val="00AB0036"/>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52A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45C"/>
    <w:rsid w:val="00AE749F"/>
    <w:rsid w:val="00AE7DED"/>
    <w:rsid w:val="00AE7E75"/>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5015"/>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B18"/>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32"/>
    <w:rsid w:val="00B37D7D"/>
    <w:rsid w:val="00B37F7E"/>
    <w:rsid w:val="00B40375"/>
    <w:rsid w:val="00B412BD"/>
    <w:rsid w:val="00B419E4"/>
    <w:rsid w:val="00B41C6A"/>
    <w:rsid w:val="00B42043"/>
    <w:rsid w:val="00B432A0"/>
    <w:rsid w:val="00B4341B"/>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4E35"/>
    <w:rsid w:val="00B55FC7"/>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3723"/>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0D01"/>
    <w:rsid w:val="00B910E0"/>
    <w:rsid w:val="00B91319"/>
    <w:rsid w:val="00B91E6E"/>
    <w:rsid w:val="00B925A9"/>
    <w:rsid w:val="00B929CF"/>
    <w:rsid w:val="00B92C59"/>
    <w:rsid w:val="00B92D3D"/>
    <w:rsid w:val="00B93112"/>
    <w:rsid w:val="00B931AD"/>
    <w:rsid w:val="00B93BA2"/>
    <w:rsid w:val="00B93D60"/>
    <w:rsid w:val="00B943EA"/>
    <w:rsid w:val="00B950B1"/>
    <w:rsid w:val="00B950F0"/>
    <w:rsid w:val="00B95B21"/>
    <w:rsid w:val="00B95BFE"/>
    <w:rsid w:val="00B961CB"/>
    <w:rsid w:val="00B96C22"/>
    <w:rsid w:val="00B96E84"/>
    <w:rsid w:val="00B972D3"/>
    <w:rsid w:val="00B9781E"/>
    <w:rsid w:val="00B97C29"/>
    <w:rsid w:val="00BA0098"/>
    <w:rsid w:val="00BA036D"/>
    <w:rsid w:val="00BA0965"/>
    <w:rsid w:val="00BA1705"/>
    <w:rsid w:val="00BA2132"/>
    <w:rsid w:val="00BA22D3"/>
    <w:rsid w:val="00BA2524"/>
    <w:rsid w:val="00BA3049"/>
    <w:rsid w:val="00BA3224"/>
    <w:rsid w:val="00BA414E"/>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824"/>
    <w:rsid w:val="00BB3940"/>
    <w:rsid w:val="00BB4389"/>
    <w:rsid w:val="00BB5587"/>
    <w:rsid w:val="00BB55E0"/>
    <w:rsid w:val="00BB5F6F"/>
    <w:rsid w:val="00BB611F"/>
    <w:rsid w:val="00BB61BE"/>
    <w:rsid w:val="00BB64A9"/>
    <w:rsid w:val="00BB6B61"/>
    <w:rsid w:val="00BB7191"/>
    <w:rsid w:val="00BB7659"/>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829"/>
    <w:rsid w:val="00BC6BE0"/>
    <w:rsid w:val="00BC6CD8"/>
    <w:rsid w:val="00BC6EAE"/>
    <w:rsid w:val="00BC73E9"/>
    <w:rsid w:val="00BC76B1"/>
    <w:rsid w:val="00BD04FC"/>
    <w:rsid w:val="00BD0F73"/>
    <w:rsid w:val="00BD1366"/>
    <w:rsid w:val="00BD1656"/>
    <w:rsid w:val="00BD1827"/>
    <w:rsid w:val="00BD18CC"/>
    <w:rsid w:val="00BD1AC1"/>
    <w:rsid w:val="00BD1D46"/>
    <w:rsid w:val="00BD29F5"/>
    <w:rsid w:val="00BD3242"/>
    <w:rsid w:val="00BD3419"/>
    <w:rsid w:val="00BD39EC"/>
    <w:rsid w:val="00BD42CA"/>
    <w:rsid w:val="00BD4326"/>
    <w:rsid w:val="00BD43E5"/>
    <w:rsid w:val="00BD4B70"/>
    <w:rsid w:val="00BD512A"/>
    <w:rsid w:val="00BD5479"/>
    <w:rsid w:val="00BD57EF"/>
    <w:rsid w:val="00BD59CF"/>
    <w:rsid w:val="00BD59E3"/>
    <w:rsid w:val="00BD672B"/>
    <w:rsid w:val="00BD771F"/>
    <w:rsid w:val="00BD7C76"/>
    <w:rsid w:val="00BD7FD7"/>
    <w:rsid w:val="00BE0026"/>
    <w:rsid w:val="00BE0315"/>
    <w:rsid w:val="00BE05F0"/>
    <w:rsid w:val="00BE08D5"/>
    <w:rsid w:val="00BE091A"/>
    <w:rsid w:val="00BE09C0"/>
    <w:rsid w:val="00BE0D73"/>
    <w:rsid w:val="00BE0FDB"/>
    <w:rsid w:val="00BE137E"/>
    <w:rsid w:val="00BE15A2"/>
    <w:rsid w:val="00BE1772"/>
    <w:rsid w:val="00BE1DEB"/>
    <w:rsid w:val="00BE2903"/>
    <w:rsid w:val="00BE2E8B"/>
    <w:rsid w:val="00BE318A"/>
    <w:rsid w:val="00BE35DA"/>
    <w:rsid w:val="00BE44F2"/>
    <w:rsid w:val="00BF0A46"/>
    <w:rsid w:val="00BF0E8E"/>
    <w:rsid w:val="00BF17C6"/>
    <w:rsid w:val="00BF1A7F"/>
    <w:rsid w:val="00BF2085"/>
    <w:rsid w:val="00BF21E0"/>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8DF"/>
    <w:rsid w:val="00C10CC7"/>
    <w:rsid w:val="00C1112B"/>
    <w:rsid w:val="00C111ED"/>
    <w:rsid w:val="00C11CD0"/>
    <w:rsid w:val="00C11DF8"/>
    <w:rsid w:val="00C11F38"/>
    <w:rsid w:val="00C13225"/>
    <w:rsid w:val="00C136A2"/>
    <w:rsid w:val="00C139BD"/>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65F"/>
    <w:rsid w:val="00C22916"/>
    <w:rsid w:val="00C229F8"/>
    <w:rsid w:val="00C22DD5"/>
    <w:rsid w:val="00C232DB"/>
    <w:rsid w:val="00C2356F"/>
    <w:rsid w:val="00C2369A"/>
    <w:rsid w:val="00C2451F"/>
    <w:rsid w:val="00C25365"/>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51A6"/>
    <w:rsid w:val="00C35A4C"/>
    <w:rsid w:val="00C35E0D"/>
    <w:rsid w:val="00C36FEF"/>
    <w:rsid w:val="00C37066"/>
    <w:rsid w:val="00C371FA"/>
    <w:rsid w:val="00C3764B"/>
    <w:rsid w:val="00C377A2"/>
    <w:rsid w:val="00C4049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AA1"/>
    <w:rsid w:val="00C50F0D"/>
    <w:rsid w:val="00C51A32"/>
    <w:rsid w:val="00C51C28"/>
    <w:rsid w:val="00C51E34"/>
    <w:rsid w:val="00C528C5"/>
    <w:rsid w:val="00C52DB8"/>
    <w:rsid w:val="00C53456"/>
    <w:rsid w:val="00C5397B"/>
    <w:rsid w:val="00C53E6D"/>
    <w:rsid w:val="00C54A67"/>
    <w:rsid w:val="00C54CD6"/>
    <w:rsid w:val="00C55CCA"/>
    <w:rsid w:val="00C55E36"/>
    <w:rsid w:val="00C55EA7"/>
    <w:rsid w:val="00C60425"/>
    <w:rsid w:val="00C60C2D"/>
    <w:rsid w:val="00C6162E"/>
    <w:rsid w:val="00C61E0E"/>
    <w:rsid w:val="00C62E53"/>
    <w:rsid w:val="00C62E87"/>
    <w:rsid w:val="00C62FB0"/>
    <w:rsid w:val="00C63E23"/>
    <w:rsid w:val="00C65399"/>
    <w:rsid w:val="00C65917"/>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1CD"/>
    <w:rsid w:val="00C7762E"/>
    <w:rsid w:val="00C77AEC"/>
    <w:rsid w:val="00C77F90"/>
    <w:rsid w:val="00C80554"/>
    <w:rsid w:val="00C807A2"/>
    <w:rsid w:val="00C808AC"/>
    <w:rsid w:val="00C8197A"/>
    <w:rsid w:val="00C84084"/>
    <w:rsid w:val="00C8462C"/>
    <w:rsid w:val="00C8471E"/>
    <w:rsid w:val="00C84955"/>
    <w:rsid w:val="00C84A39"/>
    <w:rsid w:val="00C851AD"/>
    <w:rsid w:val="00C85FED"/>
    <w:rsid w:val="00C86467"/>
    <w:rsid w:val="00C86840"/>
    <w:rsid w:val="00C87199"/>
    <w:rsid w:val="00C9035B"/>
    <w:rsid w:val="00C90A32"/>
    <w:rsid w:val="00C912FD"/>
    <w:rsid w:val="00C91A3F"/>
    <w:rsid w:val="00C92316"/>
    <w:rsid w:val="00C92547"/>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3F4"/>
    <w:rsid w:val="00CA24FB"/>
    <w:rsid w:val="00CA27D6"/>
    <w:rsid w:val="00CA2D5B"/>
    <w:rsid w:val="00CA3B64"/>
    <w:rsid w:val="00CA3DFB"/>
    <w:rsid w:val="00CA4CCE"/>
    <w:rsid w:val="00CA6108"/>
    <w:rsid w:val="00CA64D5"/>
    <w:rsid w:val="00CA66DA"/>
    <w:rsid w:val="00CA6AAF"/>
    <w:rsid w:val="00CA7A20"/>
    <w:rsid w:val="00CB1877"/>
    <w:rsid w:val="00CB1AAC"/>
    <w:rsid w:val="00CB21E2"/>
    <w:rsid w:val="00CB2EBB"/>
    <w:rsid w:val="00CB3192"/>
    <w:rsid w:val="00CB3201"/>
    <w:rsid w:val="00CB3415"/>
    <w:rsid w:val="00CB3785"/>
    <w:rsid w:val="00CB3A41"/>
    <w:rsid w:val="00CB4329"/>
    <w:rsid w:val="00CB4677"/>
    <w:rsid w:val="00CB4E57"/>
    <w:rsid w:val="00CB5BB6"/>
    <w:rsid w:val="00CB6290"/>
    <w:rsid w:val="00CB6785"/>
    <w:rsid w:val="00CB6E40"/>
    <w:rsid w:val="00CB6EAE"/>
    <w:rsid w:val="00CB7127"/>
    <w:rsid w:val="00CB766B"/>
    <w:rsid w:val="00CB7C04"/>
    <w:rsid w:val="00CB7E10"/>
    <w:rsid w:val="00CC0DEB"/>
    <w:rsid w:val="00CC10B9"/>
    <w:rsid w:val="00CC1720"/>
    <w:rsid w:val="00CC191C"/>
    <w:rsid w:val="00CC1E0A"/>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74E"/>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265"/>
    <w:rsid w:val="00D23974"/>
    <w:rsid w:val="00D24E2E"/>
    <w:rsid w:val="00D2519A"/>
    <w:rsid w:val="00D25462"/>
    <w:rsid w:val="00D25507"/>
    <w:rsid w:val="00D2632E"/>
    <w:rsid w:val="00D26479"/>
    <w:rsid w:val="00D26DCE"/>
    <w:rsid w:val="00D27035"/>
    <w:rsid w:val="00D27661"/>
    <w:rsid w:val="00D27859"/>
    <w:rsid w:val="00D2794D"/>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A37"/>
    <w:rsid w:val="00D4101D"/>
    <w:rsid w:val="00D4128C"/>
    <w:rsid w:val="00D42AFB"/>
    <w:rsid w:val="00D43511"/>
    <w:rsid w:val="00D4404B"/>
    <w:rsid w:val="00D4411B"/>
    <w:rsid w:val="00D44ABA"/>
    <w:rsid w:val="00D44EC6"/>
    <w:rsid w:val="00D45567"/>
    <w:rsid w:val="00D456F4"/>
    <w:rsid w:val="00D45EB6"/>
    <w:rsid w:val="00D4638E"/>
    <w:rsid w:val="00D46D18"/>
    <w:rsid w:val="00D4724C"/>
    <w:rsid w:val="00D47598"/>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C04"/>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3DD"/>
    <w:rsid w:val="00D704D1"/>
    <w:rsid w:val="00D70636"/>
    <w:rsid w:val="00D71230"/>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3FC"/>
    <w:rsid w:val="00D84AD1"/>
    <w:rsid w:val="00D84C22"/>
    <w:rsid w:val="00D84DC8"/>
    <w:rsid w:val="00D8562F"/>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059"/>
    <w:rsid w:val="00D95413"/>
    <w:rsid w:val="00D963A9"/>
    <w:rsid w:val="00D96479"/>
    <w:rsid w:val="00D964FA"/>
    <w:rsid w:val="00D9671D"/>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466E"/>
    <w:rsid w:val="00DA47A8"/>
    <w:rsid w:val="00DA524D"/>
    <w:rsid w:val="00DA56DB"/>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8E8"/>
    <w:rsid w:val="00DE0D00"/>
    <w:rsid w:val="00DE0D18"/>
    <w:rsid w:val="00DE1208"/>
    <w:rsid w:val="00DE16CD"/>
    <w:rsid w:val="00DE220D"/>
    <w:rsid w:val="00DE25E6"/>
    <w:rsid w:val="00DE2803"/>
    <w:rsid w:val="00DE3F0E"/>
    <w:rsid w:val="00DE5AFD"/>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348"/>
    <w:rsid w:val="00E256E5"/>
    <w:rsid w:val="00E257AC"/>
    <w:rsid w:val="00E26411"/>
    <w:rsid w:val="00E264BC"/>
    <w:rsid w:val="00E26AC1"/>
    <w:rsid w:val="00E2720A"/>
    <w:rsid w:val="00E27AE8"/>
    <w:rsid w:val="00E3008F"/>
    <w:rsid w:val="00E301BE"/>
    <w:rsid w:val="00E307B6"/>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46D8C"/>
    <w:rsid w:val="00E50255"/>
    <w:rsid w:val="00E50772"/>
    <w:rsid w:val="00E50D89"/>
    <w:rsid w:val="00E51C5A"/>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67C50"/>
    <w:rsid w:val="00E7011C"/>
    <w:rsid w:val="00E708BC"/>
    <w:rsid w:val="00E70C34"/>
    <w:rsid w:val="00E70C44"/>
    <w:rsid w:val="00E7138D"/>
    <w:rsid w:val="00E7220D"/>
    <w:rsid w:val="00E7273B"/>
    <w:rsid w:val="00E72B6E"/>
    <w:rsid w:val="00E72BD9"/>
    <w:rsid w:val="00E7322D"/>
    <w:rsid w:val="00E742F4"/>
    <w:rsid w:val="00E74B6D"/>
    <w:rsid w:val="00E74BE2"/>
    <w:rsid w:val="00E75976"/>
    <w:rsid w:val="00E75E5C"/>
    <w:rsid w:val="00E760FF"/>
    <w:rsid w:val="00E76384"/>
    <w:rsid w:val="00E775E3"/>
    <w:rsid w:val="00E77A45"/>
    <w:rsid w:val="00E80693"/>
    <w:rsid w:val="00E80E6D"/>
    <w:rsid w:val="00E812F5"/>
    <w:rsid w:val="00E8154B"/>
    <w:rsid w:val="00E82619"/>
    <w:rsid w:val="00E82968"/>
    <w:rsid w:val="00E8357D"/>
    <w:rsid w:val="00E8373C"/>
    <w:rsid w:val="00E83967"/>
    <w:rsid w:val="00E839AD"/>
    <w:rsid w:val="00E83F3C"/>
    <w:rsid w:val="00E83FCE"/>
    <w:rsid w:val="00E84570"/>
    <w:rsid w:val="00E846CA"/>
    <w:rsid w:val="00E8487A"/>
    <w:rsid w:val="00E85726"/>
    <w:rsid w:val="00E85E2B"/>
    <w:rsid w:val="00E8634C"/>
    <w:rsid w:val="00E872A7"/>
    <w:rsid w:val="00E878CC"/>
    <w:rsid w:val="00E87A7D"/>
    <w:rsid w:val="00E87EAD"/>
    <w:rsid w:val="00E901AB"/>
    <w:rsid w:val="00E90AF8"/>
    <w:rsid w:val="00E923FD"/>
    <w:rsid w:val="00E924F7"/>
    <w:rsid w:val="00E9292A"/>
    <w:rsid w:val="00E93353"/>
    <w:rsid w:val="00E9353E"/>
    <w:rsid w:val="00E94687"/>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3333"/>
    <w:rsid w:val="00EA369D"/>
    <w:rsid w:val="00EA3778"/>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4B9"/>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4EE"/>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6B9A"/>
    <w:rsid w:val="00EF72D1"/>
    <w:rsid w:val="00EF793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2492"/>
    <w:rsid w:val="00F22750"/>
    <w:rsid w:val="00F22B0A"/>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541"/>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0E6D"/>
    <w:rsid w:val="00F51366"/>
    <w:rsid w:val="00F53109"/>
    <w:rsid w:val="00F53117"/>
    <w:rsid w:val="00F534AD"/>
    <w:rsid w:val="00F53C9E"/>
    <w:rsid w:val="00F53FA9"/>
    <w:rsid w:val="00F54824"/>
    <w:rsid w:val="00F54B2F"/>
    <w:rsid w:val="00F54D09"/>
    <w:rsid w:val="00F55486"/>
    <w:rsid w:val="00F55B14"/>
    <w:rsid w:val="00F55D7D"/>
    <w:rsid w:val="00F56627"/>
    <w:rsid w:val="00F566F6"/>
    <w:rsid w:val="00F56C91"/>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656"/>
    <w:rsid w:val="00F64C7D"/>
    <w:rsid w:val="00F66746"/>
    <w:rsid w:val="00F669C5"/>
    <w:rsid w:val="00F672FF"/>
    <w:rsid w:val="00F67312"/>
    <w:rsid w:val="00F67C1B"/>
    <w:rsid w:val="00F67F40"/>
    <w:rsid w:val="00F70195"/>
    <w:rsid w:val="00F70FC0"/>
    <w:rsid w:val="00F715E7"/>
    <w:rsid w:val="00F721E2"/>
    <w:rsid w:val="00F72602"/>
    <w:rsid w:val="00F72DEA"/>
    <w:rsid w:val="00F74ABA"/>
    <w:rsid w:val="00F75340"/>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4583"/>
    <w:rsid w:val="00F8520A"/>
    <w:rsid w:val="00F8600C"/>
    <w:rsid w:val="00F863C1"/>
    <w:rsid w:val="00F86631"/>
    <w:rsid w:val="00F869B7"/>
    <w:rsid w:val="00F86E68"/>
    <w:rsid w:val="00F86EF5"/>
    <w:rsid w:val="00F87500"/>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230"/>
    <w:rsid w:val="00F96B57"/>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B87"/>
    <w:rsid w:val="00FA6EDB"/>
    <w:rsid w:val="00FA7A01"/>
    <w:rsid w:val="00FB03E9"/>
    <w:rsid w:val="00FB08DC"/>
    <w:rsid w:val="00FB1250"/>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B7877"/>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766"/>
    <w:rsid w:val="00FD3BCE"/>
    <w:rsid w:val="00FD496E"/>
    <w:rsid w:val="00FD4EA9"/>
    <w:rsid w:val="00FD5091"/>
    <w:rsid w:val="00FD546E"/>
    <w:rsid w:val="00FD5869"/>
    <w:rsid w:val="00FD6D94"/>
    <w:rsid w:val="00FD6FFE"/>
    <w:rsid w:val="00FD7077"/>
    <w:rsid w:val="00FD7766"/>
    <w:rsid w:val="00FE029F"/>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FE3"/>
    <w:rsid w:val="010AF378"/>
    <w:rsid w:val="01A2EA67"/>
    <w:rsid w:val="01A852CF"/>
    <w:rsid w:val="029FC432"/>
    <w:rsid w:val="02A5B310"/>
    <w:rsid w:val="02B01225"/>
    <w:rsid w:val="0353CA70"/>
    <w:rsid w:val="036F9FAF"/>
    <w:rsid w:val="03BDEA6A"/>
    <w:rsid w:val="03FE9936"/>
    <w:rsid w:val="0416D040"/>
    <w:rsid w:val="044BBC81"/>
    <w:rsid w:val="047FD16F"/>
    <w:rsid w:val="049CF5D6"/>
    <w:rsid w:val="0535893E"/>
    <w:rsid w:val="055AB46E"/>
    <w:rsid w:val="05619CBE"/>
    <w:rsid w:val="05B482E3"/>
    <w:rsid w:val="05F2E259"/>
    <w:rsid w:val="05FA559E"/>
    <w:rsid w:val="060EA3DB"/>
    <w:rsid w:val="063653B2"/>
    <w:rsid w:val="06542ECF"/>
    <w:rsid w:val="07AA743C"/>
    <w:rsid w:val="0825C528"/>
    <w:rsid w:val="08EDF0ED"/>
    <w:rsid w:val="093EC3E4"/>
    <w:rsid w:val="09D0EE63"/>
    <w:rsid w:val="0A717B72"/>
    <w:rsid w:val="0A751039"/>
    <w:rsid w:val="0AB4EB49"/>
    <w:rsid w:val="0AB800EC"/>
    <w:rsid w:val="0ACED967"/>
    <w:rsid w:val="0ADA9445"/>
    <w:rsid w:val="0B38CC2B"/>
    <w:rsid w:val="0B4D1081"/>
    <w:rsid w:val="0C183216"/>
    <w:rsid w:val="0C6AA9C8"/>
    <w:rsid w:val="0C72485D"/>
    <w:rsid w:val="0C9D8989"/>
    <w:rsid w:val="0C9E538D"/>
    <w:rsid w:val="0CB445D7"/>
    <w:rsid w:val="0CD35A85"/>
    <w:rsid w:val="0CD8499C"/>
    <w:rsid w:val="0CFEDE0C"/>
    <w:rsid w:val="0D0F5659"/>
    <w:rsid w:val="0D89CE29"/>
    <w:rsid w:val="0DA1B3F3"/>
    <w:rsid w:val="0DA91C34"/>
    <w:rsid w:val="0DB0AC54"/>
    <w:rsid w:val="0DD73B11"/>
    <w:rsid w:val="0EBDEC2C"/>
    <w:rsid w:val="0F79B9D7"/>
    <w:rsid w:val="0FEAE379"/>
    <w:rsid w:val="10677E0A"/>
    <w:rsid w:val="106F7A23"/>
    <w:rsid w:val="10C99ADE"/>
    <w:rsid w:val="10E0D201"/>
    <w:rsid w:val="11041DAD"/>
    <w:rsid w:val="114D992C"/>
    <w:rsid w:val="12A0225B"/>
    <w:rsid w:val="1322843B"/>
    <w:rsid w:val="1324A020"/>
    <w:rsid w:val="136C725D"/>
    <w:rsid w:val="13B6F8F2"/>
    <w:rsid w:val="13B8CC26"/>
    <w:rsid w:val="140036AB"/>
    <w:rsid w:val="142D2FF7"/>
    <w:rsid w:val="14CFBEC1"/>
    <w:rsid w:val="14DBE507"/>
    <w:rsid w:val="159C070C"/>
    <w:rsid w:val="15FB6522"/>
    <w:rsid w:val="16199FAC"/>
    <w:rsid w:val="1651DE65"/>
    <w:rsid w:val="165C66F7"/>
    <w:rsid w:val="1664290D"/>
    <w:rsid w:val="16649FEF"/>
    <w:rsid w:val="16C22A4B"/>
    <w:rsid w:val="16EEE92B"/>
    <w:rsid w:val="1739A437"/>
    <w:rsid w:val="17D27EFF"/>
    <w:rsid w:val="17E9D3E5"/>
    <w:rsid w:val="184FC3E4"/>
    <w:rsid w:val="1869EED9"/>
    <w:rsid w:val="187314D3"/>
    <w:rsid w:val="18760192"/>
    <w:rsid w:val="18D57498"/>
    <w:rsid w:val="1909D01F"/>
    <w:rsid w:val="193305E4"/>
    <w:rsid w:val="1A0CC7BE"/>
    <w:rsid w:val="1AA0B9CD"/>
    <w:rsid w:val="1AB5ADE8"/>
    <w:rsid w:val="1AECDB15"/>
    <w:rsid w:val="1B705D6E"/>
    <w:rsid w:val="1BAAB5AE"/>
    <w:rsid w:val="1BC71973"/>
    <w:rsid w:val="1C15C98D"/>
    <w:rsid w:val="1C3EC466"/>
    <w:rsid w:val="1C6CDACC"/>
    <w:rsid w:val="1C8CA1DF"/>
    <w:rsid w:val="1CBB9AD9"/>
    <w:rsid w:val="1D00ED72"/>
    <w:rsid w:val="1D3764D8"/>
    <w:rsid w:val="1D38DAFD"/>
    <w:rsid w:val="1D672306"/>
    <w:rsid w:val="1D733E1E"/>
    <w:rsid w:val="1DB3B2EF"/>
    <w:rsid w:val="1E056A3D"/>
    <w:rsid w:val="1EFC0979"/>
    <w:rsid w:val="1F0A109A"/>
    <w:rsid w:val="200B9AE8"/>
    <w:rsid w:val="2039A0A2"/>
    <w:rsid w:val="2092E5C6"/>
    <w:rsid w:val="211B3AF8"/>
    <w:rsid w:val="21C50374"/>
    <w:rsid w:val="21D19061"/>
    <w:rsid w:val="21D57103"/>
    <w:rsid w:val="21E662A0"/>
    <w:rsid w:val="21FE4702"/>
    <w:rsid w:val="225CA34E"/>
    <w:rsid w:val="22960C9C"/>
    <w:rsid w:val="231CA35F"/>
    <w:rsid w:val="23272055"/>
    <w:rsid w:val="232ADC5D"/>
    <w:rsid w:val="242F06C7"/>
    <w:rsid w:val="2449FB63"/>
    <w:rsid w:val="24DF3391"/>
    <w:rsid w:val="2657C157"/>
    <w:rsid w:val="26627D1F"/>
    <w:rsid w:val="26789B7A"/>
    <w:rsid w:val="2708CFFB"/>
    <w:rsid w:val="2732FF7C"/>
    <w:rsid w:val="2755BECF"/>
    <w:rsid w:val="27587C34"/>
    <w:rsid w:val="27C4FB44"/>
    <w:rsid w:val="27D707DD"/>
    <w:rsid w:val="2914F560"/>
    <w:rsid w:val="299B7E54"/>
    <w:rsid w:val="29B4AD23"/>
    <w:rsid w:val="29CBA357"/>
    <w:rsid w:val="29F468E2"/>
    <w:rsid w:val="2A115A7D"/>
    <w:rsid w:val="2A41F21A"/>
    <w:rsid w:val="2B18CC0A"/>
    <w:rsid w:val="2B4309CA"/>
    <w:rsid w:val="2B4D64D2"/>
    <w:rsid w:val="2B6773B8"/>
    <w:rsid w:val="2B7872A7"/>
    <w:rsid w:val="2B85D490"/>
    <w:rsid w:val="2BDD15B9"/>
    <w:rsid w:val="2C29B135"/>
    <w:rsid w:val="2C2DFBC0"/>
    <w:rsid w:val="2C537297"/>
    <w:rsid w:val="2C807019"/>
    <w:rsid w:val="2D034419"/>
    <w:rsid w:val="2DA6B512"/>
    <w:rsid w:val="2E29257B"/>
    <w:rsid w:val="2E299CAF"/>
    <w:rsid w:val="2E4E9998"/>
    <w:rsid w:val="2E5ED850"/>
    <w:rsid w:val="2E715A7F"/>
    <w:rsid w:val="2E99A41B"/>
    <w:rsid w:val="2F33A853"/>
    <w:rsid w:val="2F4AAB21"/>
    <w:rsid w:val="3003D639"/>
    <w:rsid w:val="3022A7F5"/>
    <w:rsid w:val="30941691"/>
    <w:rsid w:val="30CF78B4"/>
    <w:rsid w:val="30E67B82"/>
    <w:rsid w:val="31E68BB6"/>
    <w:rsid w:val="32746DA7"/>
    <w:rsid w:val="339923AD"/>
    <w:rsid w:val="33F5A3CF"/>
    <w:rsid w:val="340363E7"/>
    <w:rsid w:val="341552DC"/>
    <w:rsid w:val="34724DD0"/>
    <w:rsid w:val="34A1E81C"/>
    <w:rsid w:val="34B5EAFA"/>
    <w:rsid w:val="359C6913"/>
    <w:rsid w:val="3644257C"/>
    <w:rsid w:val="3666A4E5"/>
    <w:rsid w:val="36DD1B8C"/>
    <w:rsid w:val="36EC78EE"/>
    <w:rsid w:val="36F4710C"/>
    <w:rsid w:val="3764771F"/>
    <w:rsid w:val="37781046"/>
    <w:rsid w:val="37C82B67"/>
    <w:rsid w:val="383C0917"/>
    <w:rsid w:val="388FDC7E"/>
    <w:rsid w:val="390C2635"/>
    <w:rsid w:val="391CC818"/>
    <w:rsid w:val="3920A23A"/>
    <w:rsid w:val="3968FE8E"/>
    <w:rsid w:val="3A739313"/>
    <w:rsid w:val="3AE9E302"/>
    <w:rsid w:val="3B9683F7"/>
    <w:rsid w:val="3BA95684"/>
    <w:rsid w:val="3BCB3C2E"/>
    <w:rsid w:val="3BEA10FC"/>
    <w:rsid w:val="3C229271"/>
    <w:rsid w:val="3CAB666A"/>
    <w:rsid w:val="3CB673FF"/>
    <w:rsid w:val="3CF0CB17"/>
    <w:rsid w:val="3DC27D03"/>
    <w:rsid w:val="3E4F9A9A"/>
    <w:rsid w:val="3E524460"/>
    <w:rsid w:val="3EAFF815"/>
    <w:rsid w:val="3ECE0FAE"/>
    <w:rsid w:val="3EE19C09"/>
    <w:rsid w:val="3FA24834"/>
    <w:rsid w:val="405385CC"/>
    <w:rsid w:val="40993BDC"/>
    <w:rsid w:val="40AE469D"/>
    <w:rsid w:val="40CA0AC7"/>
    <w:rsid w:val="411272C2"/>
    <w:rsid w:val="41B05504"/>
    <w:rsid w:val="4284D176"/>
    <w:rsid w:val="42E0FEE6"/>
    <w:rsid w:val="43198449"/>
    <w:rsid w:val="439096ED"/>
    <w:rsid w:val="441E7147"/>
    <w:rsid w:val="446868FA"/>
    <w:rsid w:val="449EE389"/>
    <w:rsid w:val="44A8FB23"/>
    <w:rsid w:val="451C8D3D"/>
    <w:rsid w:val="455074AD"/>
    <w:rsid w:val="45533DB2"/>
    <w:rsid w:val="45828FB5"/>
    <w:rsid w:val="45B23BD8"/>
    <w:rsid w:val="45F9A3FF"/>
    <w:rsid w:val="4638CD78"/>
    <w:rsid w:val="469C637F"/>
    <w:rsid w:val="471E9E97"/>
    <w:rsid w:val="47D839DE"/>
    <w:rsid w:val="484339E3"/>
    <w:rsid w:val="48703D10"/>
    <w:rsid w:val="48C08A7A"/>
    <w:rsid w:val="48E1F8C5"/>
    <w:rsid w:val="495A6061"/>
    <w:rsid w:val="4A9DCE45"/>
    <w:rsid w:val="4A9FACC1"/>
    <w:rsid w:val="4AD3BACB"/>
    <w:rsid w:val="4B428375"/>
    <w:rsid w:val="4B55A3B3"/>
    <w:rsid w:val="4B7552C0"/>
    <w:rsid w:val="4B89F548"/>
    <w:rsid w:val="4B8F2946"/>
    <w:rsid w:val="4B936A59"/>
    <w:rsid w:val="4BC9AF3F"/>
    <w:rsid w:val="4C7199B6"/>
    <w:rsid w:val="4C9D7ADC"/>
    <w:rsid w:val="4CCEE998"/>
    <w:rsid w:val="4CF0461F"/>
    <w:rsid w:val="4D29D573"/>
    <w:rsid w:val="4D2AF921"/>
    <w:rsid w:val="4D338AB3"/>
    <w:rsid w:val="4D3ABD07"/>
    <w:rsid w:val="4D851A94"/>
    <w:rsid w:val="4E2A6B5F"/>
    <w:rsid w:val="4E54A240"/>
    <w:rsid w:val="4E73788F"/>
    <w:rsid w:val="4E973839"/>
    <w:rsid w:val="4E98E8D7"/>
    <w:rsid w:val="4F11E2FD"/>
    <w:rsid w:val="4FEDC764"/>
    <w:rsid w:val="501C08DF"/>
    <w:rsid w:val="501DC4F2"/>
    <w:rsid w:val="503FAD7D"/>
    <w:rsid w:val="509DD24C"/>
    <w:rsid w:val="512C7C40"/>
    <w:rsid w:val="515AB37A"/>
    <w:rsid w:val="5189942C"/>
    <w:rsid w:val="518FD6E1"/>
    <w:rsid w:val="51B185CF"/>
    <w:rsid w:val="51B7D940"/>
    <w:rsid w:val="51F505CD"/>
    <w:rsid w:val="5218BCFF"/>
    <w:rsid w:val="5267C812"/>
    <w:rsid w:val="527B8835"/>
    <w:rsid w:val="52F683DB"/>
    <w:rsid w:val="532208EB"/>
    <w:rsid w:val="532B3C12"/>
    <w:rsid w:val="53422614"/>
    <w:rsid w:val="53D3FBC1"/>
    <w:rsid w:val="54FB8CC1"/>
    <w:rsid w:val="55C71B26"/>
    <w:rsid w:val="55FA4715"/>
    <w:rsid w:val="56187BFC"/>
    <w:rsid w:val="5658C53A"/>
    <w:rsid w:val="567083D7"/>
    <w:rsid w:val="569C1CFF"/>
    <w:rsid w:val="5701C6C8"/>
    <w:rsid w:val="57385DF1"/>
    <w:rsid w:val="574E1E5D"/>
    <w:rsid w:val="57589684"/>
    <w:rsid w:val="57C39A89"/>
    <w:rsid w:val="582A0AAB"/>
    <w:rsid w:val="583BAD14"/>
    <w:rsid w:val="5874273E"/>
    <w:rsid w:val="58A0B14B"/>
    <w:rsid w:val="58B70E05"/>
    <w:rsid w:val="58E9967E"/>
    <w:rsid w:val="58ED34F0"/>
    <w:rsid w:val="58F466E5"/>
    <w:rsid w:val="597E4BD1"/>
    <w:rsid w:val="59BE3F73"/>
    <w:rsid w:val="59CAC803"/>
    <w:rsid w:val="5A73C590"/>
    <w:rsid w:val="5AF4E053"/>
    <w:rsid w:val="5B01EE4E"/>
    <w:rsid w:val="5B088AA0"/>
    <w:rsid w:val="5B58F1E4"/>
    <w:rsid w:val="5B7CAFBE"/>
    <w:rsid w:val="5BB71ED9"/>
    <w:rsid w:val="5BC94CDD"/>
    <w:rsid w:val="5C05E47A"/>
    <w:rsid w:val="5CB0DD71"/>
    <w:rsid w:val="5CD15AEC"/>
    <w:rsid w:val="5CE697EB"/>
    <w:rsid w:val="5D450D7A"/>
    <w:rsid w:val="5D889341"/>
    <w:rsid w:val="5DC0B34F"/>
    <w:rsid w:val="5DC3542E"/>
    <w:rsid w:val="5DEB2D2F"/>
    <w:rsid w:val="5E1E1829"/>
    <w:rsid w:val="5E2D5810"/>
    <w:rsid w:val="5EE1B42A"/>
    <w:rsid w:val="5F00ED9F"/>
    <w:rsid w:val="5F26D0D6"/>
    <w:rsid w:val="5F789BAE"/>
    <w:rsid w:val="606D82B1"/>
    <w:rsid w:val="6078276E"/>
    <w:rsid w:val="607D848B"/>
    <w:rsid w:val="6090A583"/>
    <w:rsid w:val="60E649EF"/>
    <w:rsid w:val="61981D74"/>
    <w:rsid w:val="619FBBA9"/>
    <w:rsid w:val="61D6BAE2"/>
    <w:rsid w:val="6292F120"/>
    <w:rsid w:val="62990EF2"/>
    <w:rsid w:val="63291672"/>
    <w:rsid w:val="633AA146"/>
    <w:rsid w:val="63E73D06"/>
    <w:rsid w:val="649ABCEB"/>
    <w:rsid w:val="64D671A7"/>
    <w:rsid w:val="650737E1"/>
    <w:rsid w:val="650E5BA4"/>
    <w:rsid w:val="65D96007"/>
    <w:rsid w:val="65F8F35A"/>
    <w:rsid w:val="66D515DC"/>
    <w:rsid w:val="66EDC7C7"/>
    <w:rsid w:val="671D7A38"/>
    <w:rsid w:val="67243F4C"/>
    <w:rsid w:val="67AF5CA0"/>
    <w:rsid w:val="67D25DAD"/>
    <w:rsid w:val="67D476AE"/>
    <w:rsid w:val="68495BE5"/>
    <w:rsid w:val="6909B08C"/>
    <w:rsid w:val="6920FF97"/>
    <w:rsid w:val="69619857"/>
    <w:rsid w:val="699FEF2F"/>
    <w:rsid w:val="69FAD6FD"/>
    <w:rsid w:val="6A45F091"/>
    <w:rsid w:val="6A76A0FC"/>
    <w:rsid w:val="6A8208CF"/>
    <w:rsid w:val="6B455404"/>
    <w:rsid w:val="6C12715D"/>
    <w:rsid w:val="6CB288AC"/>
    <w:rsid w:val="6CB29065"/>
    <w:rsid w:val="6CB29864"/>
    <w:rsid w:val="6CCDD424"/>
    <w:rsid w:val="6CDEAB8A"/>
    <w:rsid w:val="6D070F0D"/>
    <w:rsid w:val="6D3277BF"/>
    <w:rsid w:val="6DAB702B"/>
    <w:rsid w:val="6DD82A54"/>
    <w:rsid w:val="6E69A485"/>
    <w:rsid w:val="6E6ABF22"/>
    <w:rsid w:val="6E704A8F"/>
    <w:rsid w:val="6E9858D8"/>
    <w:rsid w:val="6EA8BB6A"/>
    <w:rsid w:val="6EFA4BB6"/>
    <w:rsid w:val="6F16824D"/>
    <w:rsid w:val="6F52DA62"/>
    <w:rsid w:val="6F7FED43"/>
    <w:rsid w:val="6F89F129"/>
    <w:rsid w:val="6F8A0A8F"/>
    <w:rsid w:val="6F9619D1"/>
    <w:rsid w:val="6FDD6F92"/>
    <w:rsid w:val="70F5F405"/>
    <w:rsid w:val="7108247D"/>
    <w:rsid w:val="7109C2AC"/>
    <w:rsid w:val="71104140"/>
    <w:rsid w:val="712F5AB8"/>
    <w:rsid w:val="7140DF41"/>
    <w:rsid w:val="717B4E5C"/>
    <w:rsid w:val="7205E8E2"/>
    <w:rsid w:val="72497A66"/>
    <w:rsid w:val="724B2FE2"/>
    <w:rsid w:val="7254AF6A"/>
    <w:rsid w:val="72569FB1"/>
    <w:rsid w:val="7261EE32"/>
    <w:rsid w:val="727523E8"/>
    <w:rsid w:val="72B1710F"/>
    <w:rsid w:val="72ECB7F2"/>
    <w:rsid w:val="730B67F9"/>
    <w:rsid w:val="73117B8D"/>
    <w:rsid w:val="73701B7E"/>
    <w:rsid w:val="73A36244"/>
    <w:rsid w:val="73AAF6CB"/>
    <w:rsid w:val="73B71DCF"/>
    <w:rsid w:val="73D16A22"/>
    <w:rsid w:val="73F81803"/>
    <w:rsid w:val="7415E615"/>
    <w:rsid w:val="74888853"/>
    <w:rsid w:val="749958C6"/>
    <w:rsid w:val="74BFE033"/>
    <w:rsid w:val="74F482F7"/>
    <w:rsid w:val="7547D452"/>
    <w:rsid w:val="7569C8B3"/>
    <w:rsid w:val="759EF8DD"/>
    <w:rsid w:val="75AED98F"/>
    <w:rsid w:val="75C2717A"/>
    <w:rsid w:val="75FA726D"/>
    <w:rsid w:val="75FCB035"/>
    <w:rsid w:val="760AF8CC"/>
    <w:rsid w:val="762458B4"/>
    <w:rsid w:val="764180B7"/>
    <w:rsid w:val="76611771"/>
    <w:rsid w:val="77392A14"/>
    <w:rsid w:val="77467F07"/>
    <w:rsid w:val="777BC99E"/>
    <w:rsid w:val="77890BFD"/>
    <w:rsid w:val="77B59D7B"/>
    <w:rsid w:val="77CF591A"/>
    <w:rsid w:val="77E0AB9D"/>
    <w:rsid w:val="788D7F63"/>
    <w:rsid w:val="78F9E42E"/>
    <w:rsid w:val="79077E25"/>
    <w:rsid w:val="79131BC1"/>
    <w:rsid w:val="791F584B"/>
    <w:rsid w:val="79546C12"/>
    <w:rsid w:val="796A9788"/>
    <w:rsid w:val="79958F50"/>
    <w:rsid w:val="799C1F4B"/>
    <w:rsid w:val="7A205D80"/>
    <w:rsid w:val="7A283307"/>
    <w:rsid w:val="7A6DEB23"/>
    <w:rsid w:val="7A70CAD6"/>
    <w:rsid w:val="7AE1CD34"/>
    <w:rsid w:val="7B2A28C0"/>
    <w:rsid w:val="7B4AC1DB"/>
    <w:rsid w:val="7B63C47B"/>
    <w:rsid w:val="7B8BB399"/>
    <w:rsid w:val="7BBA8B00"/>
    <w:rsid w:val="7C19F02A"/>
    <w:rsid w:val="7C90B181"/>
    <w:rsid w:val="7D0285A2"/>
    <w:rsid w:val="7D105753"/>
    <w:rsid w:val="7D377ED9"/>
    <w:rsid w:val="7D9FF7C6"/>
    <w:rsid w:val="7DD7BAE1"/>
    <w:rsid w:val="7DD8D57E"/>
    <w:rsid w:val="7E7D10FF"/>
    <w:rsid w:val="7EA86B43"/>
    <w:rsid w:val="7EB8287B"/>
    <w:rsid w:val="7EC0856A"/>
    <w:rsid w:val="7EC0F0B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lsdException w:name="Quote" w:uiPriority="29"/>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4"/>
      </w:numPr>
    </w:pPr>
  </w:style>
  <w:style w:type="numbering" w:customStyle="1" w:styleId="Estilo2">
    <w:name w:val="Estilo2"/>
    <w:uiPriority w:val="99"/>
    <w:rsid w:val="00A72B79"/>
    <w:pPr>
      <w:numPr>
        <w:numId w:val="5"/>
      </w:numPr>
    </w:pPr>
  </w:style>
  <w:style w:type="numbering" w:customStyle="1" w:styleId="Estilo3">
    <w:name w:val="Estilo3"/>
    <w:uiPriority w:val="99"/>
    <w:rsid w:val="00A72B79"/>
    <w:pPr>
      <w:numPr>
        <w:numId w:val="6"/>
      </w:numPr>
    </w:pPr>
  </w:style>
  <w:style w:type="numbering" w:customStyle="1" w:styleId="Estilo4">
    <w:name w:val="Estilo4"/>
    <w:uiPriority w:val="99"/>
    <w:rsid w:val="0054016D"/>
    <w:pPr>
      <w:numPr>
        <w:numId w:val="7"/>
      </w:numPr>
    </w:pPr>
  </w:style>
  <w:style w:type="numbering" w:customStyle="1" w:styleId="Estilo5">
    <w:name w:val="Estilo5"/>
    <w:uiPriority w:val="99"/>
    <w:rsid w:val="0054016D"/>
    <w:pPr>
      <w:numPr>
        <w:numId w:val="8"/>
      </w:numPr>
    </w:pPr>
  </w:style>
  <w:style w:type="numbering" w:customStyle="1" w:styleId="Estilo6">
    <w:name w:val="Estilo6"/>
    <w:uiPriority w:val="99"/>
    <w:rsid w:val="0054016D"/>
    <w:pPr>
      <w:numPr>
        <w:numId w:val="9"/>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690D71"/>
    <w:pPr>
      <w:numPr>
        <w:numId w:val="2"/>
      </w:numPr>
      <w:tabs>
        <w:tab w:val="left" w:pos="567"/>
      </w:tabs>
      <w:spacing w:before="240" w:after="120" w:line="276" w:lineRule="auto"/>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690D71"/>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356117"/>
    <w:pPr>
      <w:numPr>
        <w:ilvl w:val="1"/>
        <w:numId w:val="2"/>
      </w:numPr>
      <w:spacing w:before="120" w:after="120" w:line="276" w:lineRule="auto"/>
      <w:ind w:left="0" w:firstLine="0"/>
      <w:jc w:val="both"/>
    </w:pPr>
    <w:rPr>
      <w:rFonts w:ascii="Arial" w:eastAsia="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20334C"/>
    <w:pPr>
      <w:numPr>
        <w:ilvl w:val="2"/>
        <w:numId w:val="2"/>
      </w:numPr>
      <w:spacing w:before="120" w:after="120"/>
      <w:ind w:left="284" w:firstLine="0"/>
      <w:jc w:val="both"/>
    </w:pPr>
    <w:rPr>
      <w:rFonts w:ascii="Times New Roman" w:hAnsi="Times New Roman" w:cs="Times New Roman"/>
      <w:color w:val="000000"/>
      <w:lang w:eastAsia="en-US"/>
    </w:rPr>
  </w:style>
  <w:style w:type="paragraph" w:customStyle="1" w:styleId="Nivel4">
    <w:name w:val="Nivel 4"/>
    <w:basedOn w:val="Nivel3"/>
    <w:link w:val="Nivel4Char"/>
    <w:qFormat/>
    <w:rsid w:val="007B1E53"/>
    <w:pPr>
      <w:numPr>
        <w:ilvl w:val="3"/>
      </w:numPr>
    </w:pPr>
    <w:rPr>
      <w:color w:val="auto"/>
    </w:rPr>
  </w:style>
  <w:style w:type="paragraph" w:customStyle="1" w:styleId="Nivel5">
    <w:name w:val="Nivel 5"/>
    <w:basedOn w:val="Nivel4"/>
    <w:autoRedefine/>
    <w:qFormat/>
    <w:rsid w:val="00377565"/>
    <w:pPr>
      <w:numPr>
        <w:ilvl w:val="4"/>
      </w:numPr>
      <w:ind w:left="851"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356117"/>
    <w:rPr>
      <w:rFonts w:ascii="Arial" w:eastAsia="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autoRedefine/>
    <w:qFormat/>
    <w:rsid w:val="00B4341B"/>
    <w:pPr>
      <w:spacing w:before="120" w:after="120" w:line="276" w:lineRule="auto"/>
      <w:ind w:left="0"/>
      <w:contextualSpacing w:val="0"/>
      <w:jc w:val="center"/>
    </w:pPr>
    <w:rPr>
      <w:rFonts w:ascii="Arial" w:eastAsiaTheme="minorHAnsi" w:hAnsi="Arial" w:cs="Arial"/>
      <w:b/>
      <w:bCs/>
      <w:i/>
      <w:iCs/>
      <w:color w:val="FF0000"/>
      <w:sz w:val="20"/>
      <w:szCs w:val="20"/>
      <w:u w:val="single"/>
    </w:rPr>
  </w:style>
  <w:style w:type="character" w:customStyle="1" w:styleId="ouChar">
    <w:name w:val="ou Char"/>
    <w:basedOn w:val="PargrafodaListaChar"/>
    <w:link w:val="ou"/>
    <w:rsid w:val="00B4341B"/>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autoRedefine/>
    <w:qFormat/>
    <w:rsid w:val="003F4F17"/>
    <w:rPr>
      <w:i/>
      <w:iCs/>
      <w:color w:val="FF0000"/>
    </w:rPr>
  </w:style>
  <w:style w:type="paragraph" w:customStyle="1" w:styleId="Nvel3-R">
    <w:name w:val="Nível 3-R"/>
    <w:basedOn w:val="Nivel3"/>
    <w:link w:val="Nvel3-RChar"/>
    <w:autoRedefine/>
    <w:qFormat/>
    <w:rsid w:val="00377565"/>
    <w:rPr>
      <w:i/>
      <w:iCs/>
      <w:color w:val="FF0000"/>
    </w:rPr>
  </w:style>
  <w:style w:type="character" w:customStyle="1" w:styleId="Nvel2-RedChar">
    <w:name w:val="Nível 2 -Red Char"/>
    <w:basedOn w:val="Nivel2Char"/>
    <w:link w:val="Nvel2-Red"/>
    <w:rsid w:val="003F4F17"/>
    <w:rPr>
      <w:rFonts w:ascii="Arial" w:eastAsia="Arial" w:hAnsi="Arial" w:cs="Arial"/>
      <w:i/>
      <w:iCs/>
      <w:color w:val="FF0000"/>
      <w:lang w:eastAsia="pt-BR"/>
    </w:rPr>
  </w:style>
  <w:style w:type="paragraph" w:customStyle="1" w:styleId="Nvel4-R">
    <w:name w:val="Nível 4-R"/>
    <w:basedOn w:val="Nivel4"/>
    <w:link w:val="Nvel4-RChar"/>
    <w:qFormat/>
    <w:rsid w:val="00377565"/>
    <w:pPr>
      <w:ind w:left="567" w:firstLine="0"/>
    </w:pPr>
    <w:rPr>
      <w:i/>
      <w:iCs/>
      <w:color w:val="FF0000"/>
    </w:rPr>
  </w:style>
  <w:style w:type="character" w:customStyle="1" w:styleId="Nivel3Char">
    <w:name w:val="Nivel 3 Char"/>
    <w:basedOn w:val="Fontepargpadro"/>
    <w:link w:val="Nivel3"/>
    <w:rsid w:val="0020334C"/>
    <w:rPr>
      <w:color w:val="000000"/>
      <w:sz w:val="24"/>
      <w:szCs w:val="24"/>
    </w:rPr>
  </w:style>
  <w:style w:type="character" w:customStyle="1" w:styleId="Nvel3-RChar">
    <w:name w:val="Nível 3-R Char"/>
    <w:basedOn w:val="Nivel3Char"/>
    <w:link w:val="Nvel3-R"/>
    <w:rsid w:val="00377565"/>
    <w:rPr>
      <w:rFonts w:ascii="Arial" w:hAnsi="Arial" w:cs="Arial"/>
      <w:i/>
      <w:iCs/>
      <w:color w:val="FF0000"/>
      <w:sz w:val="24"/>
      <w:szCs w:val="24"/>
      <w:lang w:eastAsia="pt-BR"/>
    </w:rPr>
  </w:style>
  <w:style w:type="paragraph" w:customStyle="1" w:styleId="Nvel1-SemNum">
    <w:name w:val="Nível 1-Sem Num"/>
    <w:basedOn w:val="Nivel01"/>
    <w:link w:val="Nvel1-SemNumChar"/>
    <w:autoRedefine/>
    <w:qFormat/>
    <w:rsid w:val="00690D71"/>
    <w:pPr>
      <w:numPr>
        <w:numId w:val="0"/>
      </w:numPr>
      <w:outlineLvl w:val="1"/>
    </w:pPr>
    <w:rPr>
      <w:color w:val="FF0000"/>
    </w:rPr>
  </w:style>
  <w:style w:type="character" w:customStyle="1" w:styleId="Nvel4-RChar">
    <w:name w:val="Nível 4-R Char"/>
    <w:basedOn w:val="Nivel4Char"/>
    <w:link w:val="Nvel4-R"/>
    <w:rsid w:val="00377565"/>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690D71"/>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citao2Char">
    <w:name w:val="citação 2 Char"/>
    <w:basedOn w:val="CitaoChar"/>
    <w:link w:val="citao2"/>
    <w:rsid w:val="00573B28"/>
    <w:rPr>
      <w:rFonts w:ascii="Arial" w:eastAsia="Calibri" w:hAnsi="Arial" w:cs="Tahoma"/>
      <w:i/>
      <w:iCs/>
      <w:color w:val="000000"/>
      <w:szCs w:val="24"/>
      <w:shd w:val="clear" w:color="auto" w:fill="FFFFCC"/>
    </w:rPr>
  </w:style>
  <w:style w:type="paragraph" w:customStyle="1" w:styleId="Nvel01-SemNumerao">
    <w:name w:val="Nível 01-Sem Numeração"/>
    <w:basedOn w:val="Normal"/>
    <w:link w:val="Nvel01-SemNumeraoChar"/>
    <w:autoRedefine/>
    <w:uiPriority w:val="1"/>
    <w:qFormat/>
    <w:rsid w:val="00690D71"/>
    <w:pPr>
      <w:keepNext/>
      <w:keepLines/>
      <w:spacing w:before="240" w:after="120" w:line="276" w:lineRule="auto"/>
      <w:jc w:val="both"/>
      <w:outlineLvl w:val="1"/>
    </w:pPr>
    <w:rPr>
      <w:rFonts w:ascii="Arial" w:eastAsiaTheme="majorEastAsia" w:hAnsi="Arial" w:cs="Arial"/>
      <w:b/>
      <w:bCs/>
      <w:sz w:val="20"/>
      <w:szCs w:val="20"/>
    </w:rPr>
  </w:style>
  <w:style w:type="character" w:customStyle="1" w:styleId="Nvel01-SemNumeraoChar">
    <w:name w:val="Nível 01-Sem Numeração Char"/>
    <w:basedOn w:val="Fontepargpadro"/>
    <w:link w:val="Nvel01-SemNumerao"/>
    <w:uiPriority w:val="1"/>
    <w:rsid w:val="00690D71"/>
    <w:rPr>
      <w:rFonts w:ascii="Arial" w:eastAsiaTheme="majorEastAsia" w:hAnsi="Arial" w:cs="Arial"/>
      <w:b/>
      <w:bCs/>
      <w:lang w:eastAsia="pt-BR"/>
    </w:rPr>
  </w:style>
  <w:style w:type="character" w:styleId="MenoPendente">
    <w:name w:val="Unresolved Mention"/>
    <w:basedOn w:val="Fontepargpadro"/>
    <w:uiPriority w:val="99"/>
    <w:semiHidden/>
    <w:unhideWhenUsed/>
    <w:rsid w:val="00D47598"/>
    <w:rPr>
      <w:color w:val="605E5C"/>
      <w:shd w:val="clear" w:color="auto" w:fill="E1DFDD"/>
    </w:rPr>
  </w:style>
  <w:style w:type="paragraph" w:customStyle="1" w:styleId="Nvel1-SemNumPreto">
    <w:name w:val="Nível 1-Sem Num Preto"/>
    <w:basedOn w:val="Normal"/>
    <w:link w:val="Nvel1-SemNumPretoChar"/>
    <w:qFormat/>
    <w:rsid w:val="00954E1F"/>
    <w:pPr>
      <w:keepNext/>
      <w:keepLines/>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954E1F"/>
    <w:rPr>
      <w:rFonts w:ascii="Arial" w:eastAsiaTheme="majorEastAsia" w:hAnsi="Arial" w:cs="Arial"/>
      <w:b/>
      <w:bCs/>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43595057">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77494634">
      <w:bodyDiv w:val="1"/>
      <w:marLeft w:val="0"/>
      <w:marRight w:val="0"/>
      <w:marTop w:val="0"/>
      <w:marBottom w:val="0"/>
      <w:divBdr>
        <w:top w:val="none" w:sz="0" w:space="0" w:color="auto"/>
        <w:left w:val="none" w:sz="0" w:space="0" w:color="auto"/>
        <w:bottom w:val="none" w:sz="0" w:space="0" w:color="auto"/>
        <w:right w:val="none" w:sz="0" w:space="0" w:color="auto"/>
      </w:divBdr>
      <w:divsChild>
        <w:div w:id="1063136037">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598438274">
      <w:bodyDiv w:val="1"/>
      <w:marLeft w:val="0"/>
      <w:marRight w:val="0"/>
      <w:marTop w:val="0"/>
      <w:marBottom w:val="0"/>
      <w:divBdr>
        <w:top w:val="none" w:sz="0" w:space="0" w:color="auto"/>
        <w:left w:val="none" w:sz="0" w:space="0" w:color="auto"/>
        <w:bottom w:val="none" w:sz="0" w:space="0" w:color="auto"/>
        <w:right w:val="none" w:sz="0" w:space="0" w:color="auto"/>
      </w:divBdr>
      <w:divsChild>
        <w:div w:id="393049289">
          <w:marLeft w:val="0"/>
          <w:marRight w:val="0"/>
          <w:marTop w:val="0"/>
          <w:marBottom w:val="0"/>
          <w:divBdr>
            <w:top w:val="none" w:sz="0" w:space="0" w:color="auto"/>
            <w:left w:val="none" w:sz="0" w:space="0" w:color="auto"/>
            <w:bottom w:val="none" w:sz="0" w:space="0" w:color="auto"/>
            <w:right w:val="none" w:sz="0" w:space="0" w:color="auto"/>
          </w:divBdr>
        </w:div>
        <w:div w:id="725102047">
          <w:marLeft w:val="0"/>
          <w:marRight w:val="0"/>
          <w:marTop w:val="0"/>
          <w:marBottom w:val="0"/>
          <w:divBdr>
            <w:top w:val="none" w:sz="0" w:space="0" w:color="auto"/>
            <w:left w:val="none" w:sz="0" w:space="0" w:color="auto"/>
            <w:bottom w:val="none" w:sz="0" w:space="0" w:color="auto"/>
            <w:right w:val="none" w:sz="0" w:space="0" w:color="auto"/>
          </w:divBdr>
        </w:div>
        <w:div w:id="1154876891">
          <w:marLeft w:val="0"/>
          <w:marRight w:val="0"/>
          <w:marTop w:val="0"/>
          <w:marBottom w:val="0"/>
          <w:divBdr>
            <w:top w:val="none" w:sz="0" w:space="0" w:color="auto"/>
            <w:left w:val="none" w:sz="0" w:space="0" w:color="auto"/>
            <w:bottom w:val="none" w:sz="0" w:space="0" w:color="auto"/>
            <w:right w:val="none" w:sz="0" w:space="0" w:color="auto"/>
          </w:divBdr>
        </w:div>
        <w:div w:id="1849909892">
          <w:marLeft w:val="0"/>
          <w:marRight w:val="0"/>
          <w:marTop w:val="0"/>
          <w:marBottom w:val="0"/>
          <w:divBdr>
            <w:top w:val="none" w:sz="0" w:space="0" w:color="auto"/>
            <w:left w:val="none" w:sz="0" w:space="0" w:color="auto"/>
            <w:bottom w:val="none" w:sz="0" w:space="0" w:color="auto"/>
            <w:right w:val="none" w:sz="0" w:space="0" w:color="auto"/>
          </w:divBdr>
        </w:div>
        <w:div w:id="1979458126">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26" Type="http://schemas.openxmlformats.org/officeDocument/2006/relationships/hyperlink" Target="https://www.planalto.gov.br/ccivil_03/leis/1950-1969/L4150.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gov.br/compras/pt-br/acesso-a-informacao/legislacao/instrucoes-normativas/instrucao-normativa-seges-me-no-81-de-25-de-novembro-de-2022" TargetMode="External"/><Relationship Id="rId63" Type="http://schemas.openxmlformats.org/officeDocument/2006/relationships/hyperlink" Target="https://www.planalto.gov.br/ccivil_03/leis/l5172compilado.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s://www.gov.br/compras/pt-br/acesso-a-informacao/legislacao/instrucoes-normativas/instrucao-normativa-seges-me-no-81-de-25-de-novembro-de-2022" TargetMode="External"/><Relationship Id="rId16"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leis/l4320.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gov.br/compras/pt-br/acesso-a-informacao/legislacao/instrucoes-normativas/instrucao-normativa-seges-no-58-de-8-de-agosto-de-2022"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leis/1980-1988/l7116.htm" TargetMode="External"/><Relationship Id="rId74" Type="http://schemas.openxmlformats.org/officeDocument/2006/relationships/hyperlink" Target="http://www.planalto.gov.br/ccivil_03/leis/l6360.htm" TargetMode="External"/><Relationship Id="rId79" Type="http://schemas.openxmlformats.org/officeDocument/2006/relationships/hyperlink" Target="https://www.gov.br/compras/pt-br/acesso-a-informacao/legislacao/instrucoes-normativas/instrucao-normativa-no-73-de-5-de-agosto-de-2020" TargetMode="External"/><Relationship Id="rId5" Type="http://schemas.openxmlformats.org/officeDocument/2006/relationships/hyperlink" Target="http://www.planalto.gov.br/ccivil_03/Leis/LCP/Lcp123.htm" TargetMode="External"/><Relationship Id="rId19" Type="http://schemas.openxmlformats.org/officeDocument/2006/relationships/hyperlink" Target="https://www.gov.br/compras/pt-br/acesso-a-informacao/legislacao/instrucoes-normativas/instrucao-normativa-seges-no-58-de-8-de-agosto-de-2022"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gov.br/compras/pt-br/acesso-a-informacao/legislacao/instrucoes-normativas/instrucao-normativa-seges-no-58-de-8-de-agosto-de-2022"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gov.br/compras/pt-br/acesso-a-informacao/legislacao/instrucoes-normativas/instrucao-normativa-seges-me-no-81-de-25-de-novembro-de-2022" TargetMode="External"/><Relationship Id="rId35" Type="http://schemas.openxmlformats.org/officeDocument/2006/relationships/hyperlink" Target="https://www.gov.br/agu/pt-br/composicao/cgu/cgu/guias/gncs_082022.pdf" TargetMode="External"/><Relationship Id="rId43" Type="http://schemas.openxmlformats.org/officeDocument/2006/relationships/hyperlink" Target="http://www.planalto.gov.br/ccivil_03/leis/l8666cons.htm" TargetMode="External"/><Relationship Id="rId48" Type="http://schemas.openxmlformats.org/officeDocument/2006/relationships/hyperlink" Target="http://www.planalto.gov.br/ccivil_03/_ato2019-2022/2022/decreto/D11246.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gov.br/compras/pt-br/acesso-a-informacao/legislacao/instrucoes-normativas/instrucao-normativa-seges-me-no-116-de-21-de-dezembro-de-2021" TargetMode="External"/><Relationship Id="rId77" Type="http://schemas.openxmlformats.org/officeDocument/2006/relationships/hyperlink" Target="https://www.gov.br/compras/pt-br/acesso-a-informacao/legislacao/instrucoes-normativas/instrucao-normativa-seges-me-no-81-de-25-de-novembro-de-2022"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no-5-de-26-de-maio-de-2017-atualizada" TargetMode="External"/><Relationship Id="rId72" Type="http://schemas.openxmlformats.org/officeDocument/2006/relationships/hyperlink" Target="https://antigo.agu.gov.br/page/atos/detalhe/idato/1778660"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3"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decreto/d93872.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leis/l9454.htm" TargetMode="External"/><Relationship Id="rId59" Type="http://schemas.openxmlformats.org/officeDocument/2006/relationships/hyperlink" Target="http://www.planalto.gov.br/ccivil_03/leis/l9454.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gov.br/compras/pt-br/acesso-a-informacao/legislacao/instrucoes-normativas/instrucao-normativa-seges-me-no-81-de-25-de-novembro-de-2022"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leis/2002/l10406compilada.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5-2018/2015/Decreto/D8538.htm" TargetMode="Externa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gov.br/compras/pt-br/acesso-a-informacao/legislacao/instrucoes-normativas/instrucao-normativa-seges-me-no-81-de-25-de-novembro-de-2022" TargetMode="External"/><Relationship Id="rId28" Type="http://schemas.openxmlformats.org/officeDocument/2006/relationships/hyperlink" Target="https://www.gov.br/compras/pt-br/acesso-a-informacao/legislacao/instrucoes-normativas/instrucao-normativa-seges-me-no-81-de-25-de-novembro-de-2022" TargetMode="External"/><Relationship Id="rId36" Type="http://schemas.openxmlformats.org/officeDocument/2006/relationships/hyperlink" Target="https://www.gov.br/compras/pt-br/acesso-a-informacao/legislacao/instrucoes-normativas/instrucao-normativa-seges-me-no-81-de-25-de-novembro-de-2022" TargetMode="External"/><Relationship Id="rId49" Type="http://schemas.openxmlformats.org/officeDocument/2006/relationships/hyperlink" Target="https://www.gov.br/compras/pt-br/acesso-a-informacao/legislacao/instrucoes-normativas/instrucao-normativa-no-5-de-26-de-maio-de-2017-atualizada" TargetMode="External"/><Relationship Id="rId57" Type="http://schemas.openxmlformats.org/officeDocument/2006/relationships/hyperlink" Target="https://www.planalto.gov.br/ccivil_03/_ato2019-2022/2022/decreto/D10977.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s://www.gov.br/compras/pt-br/acesso-a-informacao/legislacao/portarias/portaria-seges-me-no-938-de-2-de-fevereiro-de-2022" TargetMode="External"/><Relationship Id="rId44" Type="http://schemas.openxmlformats.org/officeDocument/2006/relationships/hyperlink" Target="https://www.planalto.gov.br/ccivil_03/_ato2019-2022/2022/decreto/d10977.htm" TargetMode="External"/><Relationship Id="rId52" Type="http://schemas.openxmlformats.org/officeDocument/2006/relationships/hyperlink" Target="https://www.planalto.gov.br/ccivil_03/constituicao/constituicao.htm" TargetMode="External"/><Relationship Id="rId60" Type="http://schemas.openxmlformats.org/officeDocument/2006/relationships/hyperlink" Target="https://www.planalto.gov.br/ccivil_03/_ato2019-2022/2021/lei/L14195.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s://www.planalto.gov.br/ccivil_03/_ato2011-2014/2011/lei/l12527.htm" TargetMode="External"/><Relationship Id="rId4" Type="http://schemas.openxmlformats.org/officeDocument/2006/relationships/hyperlink" Target="http://www.planalto.gov.br/ccivil_03/_ato2019-2022/2021/lei/L14133.htm" TargetMode="Externa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decreto/d93872.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s://www.gov.br/compras/pt-br/acesso-a-informacao/legislacao/instrucoes-normativas/instrucao-normativa-seges-me-no-81-de-25-de-novembro-de-2022" TargetMode="External"/><Relationship Id="rId50" Type="http://schemas.openxmlformats.org/officeDocument/2006/relationships/hyperlink" Target="https://www.gov.br/compras/pt-br/acesso-a-informacao/legislacao/instrucoes-normativas/instrucao-normativa-no-5-de-26-de-maio-de-2017-atualizada" TargetMode="External"/><Relationship Id="rId55" Type="http://schemas.openxmlformats.org/officeDocument/2006/relationships/hyperlink" Target="https://www.gov.br/compras/pt-br/acesso-a-informacao/legislacao/instrucoes-normativas/instrucao-normativa-seges-me-no-116-de-21-de-dezembro-de-2021" TargetMode="External"/><Relationship Id="rId76" Type="http://schemas.openxmlformats.org/officeDocument/2006/relationships/hyperlink" Target="https://www.gov.br/compras/pt-br/acesso-a-informacao/legislacao/instrucoes-normativas/instrucao-normativa-seges-me-no-65-de-7-de-julho-de-2021" TargetMode="External"/><Relationship Id="rId7" Type="http://schemas.openxmlformats.org/officeDocument/2006/relationships/hyperlink" Target="https://antigo.agu.gov.br/page/atos/detalhe/idato/1256070" TargetMode="External"/><Relationship Id="rId71" Type="http://schemas.openxmlformats.org/officeDocument/2006/relationships/hyperlink" Target="https://sapiens.agu.gov.br/valida_publico?id=701283242" TargetMode="External"/><Relationship Id="rId2" Type="http://schemas.openxmlformats.org/officeDocument/2006/relationships/hyperlink" Target="https://www.gov.br/compras/pt-br/acesso-a-informacao/legislacao/instrucoes-normativas/instrucao-normativa-seges-no-58-de-8-de-agosto-de-2022" TargetMode="Externa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LEIS/1980-1988/L7116.htm" TargetMode="External"/><Relationship Id="rId66" Type="http://schemas.openxmlformats.org/officeDocument/2006/relationships/hyperlink" Target="https://www.planalto.gov.br/ccivil_03/constituicao/constituicao.htm" TargetMode="External"/><Relationship Id="rId87" Type="http://schemas.openxmlformats.org/officeDocument/2006/relationships/hyperlink" Target="https://www.gov.br/compras/pt-br/acesso-a-informacao/legislacao/instrucoes-normativas/instrucao-normativa-seges-me-no-81-de-25-de-novembro-de-2022" TargetMode="External"/><Relationship Id="rId61" Type="http://schemas.openxmlformats.org/officeDocument/2006/relationships/hyperlink" Target="http://www.planalto.gov.br/ccivil_03/_ato2019-2022/2022/lei/L14382.htm" TargetMode="External"/><Relationship Id="rId82" Type="http://schemas.openxmlformats.org/officeDocument/2006/relationships/hyperlink" Target="http://www.planalto.gov.br/ccivil_03/_ato2019-2022/2021/decreto/D10922.htm"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www.planalto.gov.br/ccivil_03/_ato2019-2022/2021/lei/L14133.ht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planalto.gov.br/ccivil_03/leis/l8078compilado.ht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gov.br/compras/pt-br/acesso-a-informacao/legislacao/instrucoes-normativas/instrucao-normativa-seges-me-no-77-de-4-de-novembro-de-20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www.planalto.gov.br/ccivil_03/_Ato2019-2022/2021/Lei/L14133.htm" TargetMode="External"/><Relationship Id="rId5" Type="http://schemas.openxmlformats.org/officeDocument/2006/relationships/numbering" Target="numbering.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decreto-lei/del5452.ht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planalto.gov.br/ccivil_03/_ato2019-2022/2021/lei/L14133.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gov.br/empresas-e-negocios/pt-br/empreendedo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42D3F-BA4B-42F5-B78B-25B337820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80E0E9-BEB8-4A04-8561-33E5EE48885C}">
  <ds:schemaRefs>
    <ds:schemaRef ds:uri="http://schemas.microsoft.com/sharepoint/v3/contenttype/forms"/>
  </ds:schemaRefs>
</ds:datastoreItem>
</file>

<file path=customXml/itemProps3.xml><?xml version="1.0" encoding="utf-8"?>
<ds:datastoreItem xmlns:ds="http://schemas.openxmlformats.org/officeDocument/2006/customXml" ds:itemID="{8ACB6ADB-1698-4ACD-95DC-0D2A5C5B4901}">
  <ds:schemaRefs>
    <ds:schemaRef ds:uri="http://schemas.microsoft.com/office/2006/metadata/properties"/>
    <ds:schemaRef ds:uri="http://schemas.microsoft.com/office/infopath/2007/PartnerControls"/>
    <ds:schemaRef ds:uri="5099eeed-182b-4607-ad39-2b3e131c9b2e"/>
  </ds:schemaRefs>
</ds:datastoreItem>
</file>

<file path=customXml/itemProps4.xml><?xml version="1.0" encoding="utf-8"?>
<ds:datastoreItem xmlns:ds="http://schemas.openxmlformats.org/officeDocument/2006/customXml" ds:itemID="{EBFE7314-C982-4E96-960B-6D422952C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5047</Words>
  <Characters>27256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2023-12-21T22:01:00Z</dcterms:created>
  <dcterms:modified xsi:type="dcterms:W3CDTF">2024-01-31T19:16:00Z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